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jc w:val="center"/>
        <w:rPr>
          <w:rFonts w:ascii="Times New Roman" w:hAnsi="Times New Roman" w:eastAsia="宋体" w:cs="Times New Roman"/>
          <w:b/>
          <w:bCs/>
          <w:sz w:val="40"/>
          <w:szCs w:val="40"/>
        </w:rPr>
      </w:pPr>
    </w:p>
    <w:p>
      <w:pPr>
        <w:widowControl/>
        <w:jc w:val="center"/>
        <w:rPr>
          <w:rFonts w:ascii="Times New Roman" w:hAnsi="Times New Roman" w:eastAsia="宋体" w:cs="Times New Roman"/>
          <w:b/>
          <w:bCs/>
          <w:sz w:val="40"/>
          <w:szCs w:val="40"/>
        </w:rPr>
      </w:pPr>
    </w:p>
    <w:p>
      <w:pPr>
        <w:widowControl/>
        <w:jc w:val="center"/>
        <w:rPr>
          <w:rFonts w:ascii="Times New Roman" w:hAnsi="Times New Roman" w:eastAsia="宋体" w:cs="Times New Roman"/>
          <w:b/>
          <w:bCs/>
          <w:sz w:val="40"/>
          <w:szCs w:val="40"/>
        </w:rPr>
      </w:pPr>
      <w:r>
        <w:rPr>
          <w:rFonts w:hint="eastAsia" w:ascii="Times New Roman" w:hAnsi="Times New Roman" w:eastAsia="宋体" w:cs="Times New Roman"/>
          <w:b/>
          <w:bCs/>
          <w:sz w:val="40"/>
          <w:szCs w:val="40"/>
        </w:rPr>
        <w:t>行    业    标    准</w:t>
      </w:r>
    </w:p>
    <w:p>
      <w:pPr>
        <w:widowControl/>
        <w:jc w:val="center"/>
        <w:rPr>
          <w:rFonts w:ascii="Times New Roman" w:hAnsi="Times New Roman" w:eastAsia="宋体" w:cs="Times New Roman"/>
          <w:b/>
          <w:bCs/>
          <w:sz w:val="40"/>
          <w:szCs w:val="40"/>
        </w:rPr>
      </w:pPr>
    </w:p>
    <w:p>
      <w:pPr>
        <w:jc w:val="center"/>
        <w:rPr>
          <w:rFonts w:ascii="Times New Roman" w:hAnsi="Times New Roman" w:eastAsia="宋体" w:cs="Times New Roman"/>
          <w:b/>
          <w:bCs/>
          <w:sz w:val="40"/>
          <w:szCs w:val="40"/>
        </w:rPr>
      </w:pPr>
      <w:r>
        <w:rPr>
          <w:rFonts w:ascii="Times New Roman" w:hAnsi="Times New Roman" w:eastAsia="宋体" w:cs="Times New Roman"/>
          <w:b/>
          <w:bCs/>
          <w:sz w:val="40"/>
          <w:szCs w:val="40"/>
        </w:rPr>
        <w:t>《畜禽肉制品中非肉类蛋白的测定》</w:t>
      </w:r>
    </w:p>
    <w:p>
      <w:pPr>
        <w:jc w:val="center"/>
        <w:rPr>
          <w:rFonts w:ascii="Times New Roman" w:hAnsi="Times New Roman" w:eastAsia="宋体" w:cs="Times New Roman"/>
          <w:b/>
          <w:bCs/>
          <w:sz w:val="32"/>
          <w:szCs w:val="32"/>
        </w:rPr>
      </w:pPr>
    </w:p>
    <w:p>
      <w:pPr>
        <w:jc w:val="center"/>
        <w:rPr>
          <w:rFonts w:ascii="Times New Roman" w:hAnsi="Times New Roman" w:eastAsia="宋体" w:cs="Times New Roman"/>
          <w:b/>
          <w:bCs/>
          <w:sz w:val="40"/>
          <w:szCs w:val="40"/>
        </w:rPr>
      </w:pPr>
      <w:r>
        <w:rPr>
          <w:rFonts w:hint="eastAsia" w:ascii="Times New Roman" w:hAnsi="Times New Roman" w:eastAsia="宋体" w:cs="Times New Roman"/>
          <w:b/>
          <w:bCs/>
          <w:sz w:val="40"/>
          <w:szCs w:val="40"/>
        </w:rPr>
        <w:t>编    制    说    明</w:t>
      </w:r>
    </w:p>
    <w:p>
      <w:pPr>
        <w:jc w:val="center"/>
        <w:rPr>
          <w:rFonts w:ascii="Times New Roman" w:hAnsi="Times New Roman" w:eastAsia="宋体" w:cs="Times New Roman"/>
          <w:b/>
          <w:bCs/>
          <w:sz w:val="32"/>
          <w:szCs w:val="32"/>
        </w:rPr>
      </w:pPr>
    </w:p>
    <w:p>
      <w:pPr>
        <w:jc w:val="center"/>
        <w:rPr>
          <w:rFonts w:ascii="Times New Roman" w:hAnsi="Times New Roman" w:eastAsia="宋体" w:cs="Times New Roman"/>
          <w:b/>
          <w:bCs/>
          <w:sz w:val="32"/>
          <w:szCs w:val="32"/>
        </w:rPr>
      </w:pPr>
    </w:p>
    <w:p>
      <w:pPr>
        <w:jc w:val="center"/>
        <w:rPr>
          <w:rFonts w:ascii="Times New Roman" w:hAnsi="Times New Roman" w:eastAsia="宋体" w:cs="Times New Roman"/>
          <w:b/>
          <w:bCs/>
          <w:sz w:val="32"/>
          <w:szCs w:val="32"/>
        </w:rPr>
      </w:pPr>
    </w:p>
    <w:p>
      <w:pPr>
        <w:jc w:val="center"/>
        <w:rPr>
          <w:rFonts w:hint="eastAsia"/>
          <w:b/>
          <w:bCs/>
          <w:sz w:val="32"/>
          <w:szCs w:val="32"/>
        </w:rPr>
      </w:pPr>
    </w:p>
    <w:p>
      <w:pPr>
        <w:jc w:val="center"/>
        <w:rPr>
          <w:rFonts w:hint="eastAsia"/>
          <w:b/>
          <w:bCs/>
          <w:sz w:val="32"/>
          <w:szCs w:val="32"/>
        </w:rPr>
      </w:pPr>
    </w:p>
    <w:p>
      <w:pPr>
        <w:jc w:val="center"/>
        <w:rPr>
          <w:rFonts w:hint="eastAsia"/>
          <w:b/>
          <w:bCs/>
          <w:sz w:val="32"/>
          <w:szCs w:val="32"/>
        </w:rPr>
      </w:pPr>
    </w:p>
    <w:p>
      <w:pPr>
        <w:jc w:val="center"/>
        <w:rPr>
          <w:rFonts w:hint="eastAsia"/>
          <w:b/>
          <w:bCs/>
          <w:sz w:val="32"/>
          <w:szCs w:val="32"/>
        </w:rPr>
      </w:pPr>
    </w:p>
    <w:p>
      <w:pPr>
        <w:jc w:val="center"/>
        <w:rPr>
          <w:rFonts w:hint="eastAsia"/>
          <w:b/>
          <w:bCs/>
          <w:sz w:val="32"/>
          <w:szCs w:val="32"/>
        </w:rPr>
      </w:pPr>
    </w:p>
    <w:p>
      <w:pPr>
        <w:jc w:val="center"/>
        <w:rPr>
          <w:rFonts w:hint="eastAsia"/>
          <w:b/>
          <w:bCs/>
          <w:sz w:val="32"/>
          <w:szCs w:val="32"/>
        </w:rPr>
      </w:pPr>
    </w:p>
    <w:p>
      <w:pPr>
        <w:jc w:val="center"/>
        <w:rPr>
          <w:rFonts w:hint="eastAsia"/>
          <w:b/>
          <w:bCs/>
          <w:sz w:val="32"/>
          <w:szCs w:val="32"/>
        </w:rPr>
      </w:pPr>
    </w:p>
    <w:p>
      <w:pPr>
        <w:jc w:val="center"/>
        <w:rPr>
          <w:rFonts w:hint="eastAsia"/>
          <w:b/>
          <w:bCs/>
          <w:sz w:val="32"/>
          <w:szCs w:val="32"/>
        </w:rPr>
      </w:pPr>
      <w:r>
        <w:rPr>
          <w:rFonts w:hint="eastAsia" w:ascii="宋体" w:hAnsi="宋体" w:eastAsia="宋体"/>
          <w:sz w:val="28"/>
          <w:szCs w:val="28"/>
          <w:lang w:val="en-US" w:eastAsia="zh-CN"/>
        </w:rPr>
        <w:t>2025</w:t>
      </w:r>
      <w:r>
        <w:rPr>
          <w:rFonts w:hint="eastAsia" w:ascii="宋体" w:hAnsi="宋体" w:eastAsia="宋体"/>
          <w:sz w:val="28"/>
          <w:szCs w:val="28"/>
        </w:rPr>
        <w:t>年</w:t>
      </w:r>
      <w:r>
        <w:rPr>
          <w:rFonts w:hint="eastAsia" w:ascii="宋体" w:hAnsi="宋体" w:eastAsia="宋体"/>
          <w:sz w:val="28"/>
          <w:szCs w:val="28"/>
          <w:lang w:val="en-US" w:eastAsia="zh-CN"/>
        </w:rPr>
        <w:t>7</w:t>
      </w:r>
      <w:bookmarkStart w:id="12" w:name="_GoBack"/>
      <w:bookmarkEnd w:id="12"/>
      <w:r>
        <w:rPr>
          <w:rFonts w:hint="eastAsia" w:ascii="宋体" w:hAnsi="宋体" w:eastAsia="宋体"/>
          <w:sz w:val="28"/>
          <w:szCs w:val="28"/>
        </w:rPr>
        <w:t>月</w:t>
      </w:r>
    </w:p>
    <w:p>
      <w:pPr>
        <w:widowControl/>
        <w:jc w:val="left"/>
        <w:rPr>
          <w:rFonts w:ascii="Times New Roman" w:hAnsi="Times New Roman" w:eastAsia="宋体" w:cs="Times New Roman"/>
          <w:b/>
          <w:bCs/>
          <w:sz w:val="32"/>
          <w:szCs w:val="32"/>
        </w:rPr>
      </w:pPr>
    </w:p>
    <w:p>
      <w:pPr>
        <w:widowControl/>
        <w:jc w:val="left"/>
        <w:rPr>
          <w:rFonts w:ascii="Times New Roman" w:hAnsi="Times New Roman" w:eastAsia="宋体" w:cs="Times New Roman"/>
          <w:b/>
          <w:bCs/>
          <w:sz w:val="32"/>
          <w:szCs w:val="32"/>
        </w:rPr>
      </w:pPr>
      <w:r>
        <w:rPr>
          <w:rFonts w:ascii="Times New Roman" w:hAnsi="Times New Roman" w:eastAsia="宋体" w:cs="Times New Roman"/>
          <w:b/>
          <w:bCs/>
          <w:sz w:val="32"/>
          <w:szCs w:val="32"/>
        </w:rPr>
        <w:br w:type="page"/>
      </w:r>
    </w:p>
    <w:p>
      <w:pPr>
        <w:jc w:val="center"/>
        <w:rPr>
          <w:rFonts w:ascii="Times New Roman" w:hAnsi="Times New Roman" w:eastAsia="宋体" w:cs="Times New Roman"/>
          <w:b/>
          <w:bCs/>
          <w:sz w:val="32"/>
          <w:szCs w:val="32"/>
        </w:rPr>
      </w:pPr>
      <w:r>
        <w:rPr>
          <w:rFonts w:ascii="Times New Roman" w:hAnsi="Times New Roman" w:eastAsia="宋体" w:cs="Times New Roman"/>
          <w:b/>
          <w:bCs/>
          <w:sz w:val="32"/>
          <w:szCs w:val="32"/>
        </w:rPr>
        <w:t>《畜禽肉制品中非肉类蛋白的测定》</w:t>
      </w:r>
    </w:p>
    <w:p>
      <w:pPr>
        <w:jc w:val="center"/>
        <w:rPr>
          <w:rFonts w:hint="eastAsia"/>
          <w:b/>
          <w:bCs/>
          <w:sz w:val="32"/>
          <w:szCs w:val="32"/>
        </w:rPr>
      </w:pPr>
      <w:r>
        <w:rPr>
          <w:rFonts w:hint="eastAsia" w:ascii="Times New Roman" w:hAnsi="Times New Roman" w:eastAsia="宋体" w:cs="Times New Roman"/>
          <w:b/>
          <w:bCs/>
          <w:sz w:val="32"/>
          <w:szCs w:val="32"/>
        </w:rPr>
        <w:t>标准编制说明</w:t>
      </w:r>
    </w:p>
    <w:p>
      <w:pPr>
        <w:pStyle w:val="2"/>
        <w:rPr>
          <w:rFonts w:ascii="Times New Roman" w:hAnsi="Times New Roman" w:cs="Times New Roman"/>
        </w:rPr>
      </w:pPr>
      <w:r>
        <w:rPr>
          <w:rFonts w:ascii="Times New Roman" w:hAnsi="Times New Roman" w:cs="Times New Roman"/>
        </w:rPr>
        <w:t>一、任务由来</w:t>
      </w:r>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根据任务通知，由中国肉类食品综合研究中心承担《畜禽肉制品中非肉类蛋白的测定》标准制定工作，计划编号为2023-0951T-QB。本研究主要是建立一个测定畜禽肉制品中大豆蛋白、花生蛋白、豌豆蛋白、小麦蛋白、蛋液的液相色谱-串联质谱方法。</w:t>
      </w:r>
    </w:p>
    <w:p>
      <w:pPr>
        <w:pStyle w:val="2"/>
        <w:rPr>
          <w:rFonts w:ascii="Times New Roman" w:hAnsi="Times New Roman" w:cs="Times New Roman"/>
        </w:rPr>
      </w:pPr>
      <w:r>
        <w:rPr>
          <w:rFonts w:ascii="Times New Roman" w:hAnsi="Times New Roman" w:cs="Times New Roman"/>
        </w:rPr>
        <w:t>二、立项背景及意义</w:t>
      </w:r>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非肉蛋白因价格低廉、获取便捷，被广泛应用于</w:t>
      </w:r>
      <w:r>
        <w:rPr>
          <w:rFonts w:hint="eastAsia" w:ascii="Times New Roman" w:hAnsi="Times New Roman" w:eastAsia="宋体" w:cs="Times New Roman"/>
          <w:sz w:val="28"/>
          <w:szCs w:val="28"/>
        </w:rPr>
        <w:t>肉灌</w:t>
      </w:r>
      <w:r>
        <w:rPr>
          <w:rFonts w:ascii="Times New Roman" w:hAnsi="Times New Roman" w:eastAsia="宋体" w:cs="Times New Roman"/>
          <w:sz w:val="28"/>
          <w:szCs w:val="28"/>
        </w:rPr>
        <w:t>肠类、丸</w:t>
      </w:r>
      <w:r>
        <w:rPr>
          <w:rFonts w:hint="eastAsia" w:ascii="Times New Roman" w:hAnsi="Times New Roman" w:eastAsia="宋体" w:cs="Times New Roman"/>
          <w:sz w:val="28"/>
          <w:szCs w:val="28"/>
        </w:rPr>
        <w:t>子</w:t>
      </w:r>
      <w:r>
        <w:rPr>
          <w:rFonts w:ascii="Times New Roman" w:hAnsi="Times New Roman" w:eastAsia="宋体" w:cs="Times New Roman"/>
          <w:sz w:val="28"/>
          <w:szCs w:val="28"/>
        </w:rPr>
        <w:t>类</w:t>
      </w:r>
      <w:r>
        <w:rPr>
          <w:rFonts w:hint="eastAsia" w:ascii="Times New Roman" w:hAnsi="Times New Roman" w:eastAsia="宋体" w:cs="Times New Roman"/>
          <w:sz w:val="28"/>
          <w:szCs w:val="28"/>
        </w:rPr>
        <w:t>、肉糜干</w:t>
      </w:r>
      <w:r>
        <w:rPr>
          <w:rFonts w:ascii="Times New Roman" w:hAnsi="Times New Roman" w:eastAsia="宋体" w:cs="Times New Roman"/>
          <w:sz w:val="28"/>
          <w:szCs w:val="28"/>
        </w:rPr>
        <w:t>等肉制品中，适当的加入非肉蛋白可增加乳化效果及产品的吸水性、保水性、弹性等。</w:t>
      </w:r>
      <w:r>
        <w:rPr>
          <w:rFonts w:hint="eastAsia" w:ascii="Times New Roman" w:hAnsi="Times New Roman" w:eastAsia="宋体" w:cs="Times New Roman"/>
          <w:sz w:val="28"/>
          <w:szCs w:val="28"/>
        </w:rPr>
        <w:t>目前，我国</w:t>
      </w:r>
      <w:r>
        <w:rPr>
          <w:rFonts w:ascii="Times New Roman" w:hAnsi="Times New Roman" w:eastAsia="宋体" w:cs="Times New Roman"/>
          <w:sz w:val="28"/>
          <w:szCs w:val="28"/>
        </w:rPr>
        <w:t>对肉制品中非肉蛋白的使用也有相关的标准指导，如SB/T 10823-2012《畜禽肉制品加工中使用非肉类蛋白质制品导则》、NY/T 2791-2015《肉制品加工中非肉类蛋白质使用导则》，导则虽然指出了可以使用的非肉类蛋白质的种类，并对产品标识进行了相关规定，但目前缺少相应的检测方法，无法对肉制品中动物蛋白和植物蛋白进行区分及检测，仅能够测定食品中的蛋白总量。</w:t>
      </w:r>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自2019年以来，受</w:t>
      </w:r>
      <w:r>
        <w:rPr>
          <w:rFonts w:hint="eastAsia" w:ascii="Times New Roman" w:hAnsi="Times New Roman" w:eastAsia="宋体" w:cs="Times New Roman"/>
          <w:sz w:val="28"/>
          <w:szCs w:val="28"/>
        </w:rPr>
        <w:t>原料肉</w:t>
      </w:r>
      <w:r>
        <w:rPr>
          <w:rFonts w:ascii="Times New Roman" w:hAnsi="Times New Roman" w:eastAsia="宋体" w:cs="Times New Roman"/>
          <w:sz w:val="28"/>
          <w:szCs w:val="28"/>
        </w:rPr>
        <w:t>价格</w:t>
      </w:r>
      <w:r>
        <w:rPr>
          <w:rFonts w:hint="eastAsia" w:ascii="Times New Roman" w:hAnsi="Times New Roman" w:eastAsia="宋体" w:cs="Times New Roman"/>
          <w:sz w:val="28"/>
          <w:szCs w:val="28"/>
        </w:rPr>
        <w:t>频繁</w:t>
      </w:r>
      <w:r>
        <w:rPr>
          <w:rFonts w:ascii="Times New Roman" w:hAnsi="Times New Roman" w:eastAsia="宋体" w:cs="Times New Roman"/>
          <w:sz w:val="28"/>
          <w:szCs w:val="28"/>
        </w:rPr>
        <w:t>波动的</w:t>
      </w:r>
      <w:r>
        <w:rPr>
          <w:rFonts w:hint="eastAsia" w:ascii="Times New Roman" w:hAnsi="Times New Roman" w:eastAsia="宋体" w:cs="Times New Roman"/>
          <w:sz w:val="28"/>
          <w:szCs w:val="28"/>
        </w:rPr>
        <w:t>影响，</w:t>
      </w:r>
      <w:r>
        <w:rPr>
          <w:rFonts w:ascii="Times New Roman" w:hAnsi="Times New Roman" w:eastAsia="宋体" w:cs="Times New Roman"/>
          <w:sz w:val="28"/>
          <w:szCs w:val="28"/>
        </w:rPr>
        <w:t>迫使很多肉类企业调整产品及配方，致使非肉类蛋白更广泛的使用。部分产品使用大量</w:t>
      </w:r>
      <w:r>
        <w:rPr>
          <w:rFonts w:hint="eastAsia" w:ascii="Times New Roman" w:hAnsi="Times New Roman" w:eastAsia="宋体" w:cs="Times New Roman"/>
          <w:sz w:val="28"/>
          <w:szCs w:val="28"/>
        </w:rPr>
        <w:t>非肉</w:t>
      </w:r>
      <w:r>
        <w:rPr>
          <w:rFonts w:ascii="Times New Roman" w:hAnsi="Times New Roman" w:eastAsia="宋体" w:cs="Times New Roman"/>
          <w:sz w:val="28"/>
          <w:szCs w:val="28"/>
        </w:rPr>
        <w:t>蛋白替代畜禽肉成分，但在配料表中却不按事实标注，虽然蛋白总量符合要求，但</w:t>
      </w:r>
      <w:r>
        <w:rPr>
          <w:rFonts w:hint="eastAsia" w:ascii="Times New Roman" w:hAnsi="Times New Roman" w:eastAsia="宋体" w:cs="Times New Roman"/>
          <w:sz w:val="28"/>
          <w:szCs w:val="28"/>
        </w:rPr>
        <w:t>畜禽肉</w:t>
      </w:r>
      <w:r>
        <w:rPr>
          <w:rFonts w:ascii="Times New Roman" w:hAnsi="Times New Roman" w:eastAsia="宋体" w:cs="Times New Roman"/>
          <w:sz w:val="28"/>
          <w:szCs w:val="28"/>
        </w:rPr>
        <w:t>含量较低，</w:t>
      </w:r>
      <w:r>
        <w:rPr>
          <w:rFonts w:hint="eastAsia" w:ascii="Times New Roman" w:hAnsi="Times New Roman" w:eastAsia="宋体" w:cs="Times New Roman"/>
          <w:sz w:val="28"/>
          <w:szCs w:val="28"/>
        </w:rPr>
        <w:t>营养价值较低，同时</w:t>
      </w:r>
      <w:r>
        <w:rPr>
          <w:rFonts w:ascii="Times New Roman" w:hAnsi="Times New Roman" w:eastAsia="宋体" w:cs="Times New Roman"/>
          <w:sz w:val="28"/>
          <w:szCs w:val="28"/>
        </w:rPr>
        <w:t>产品</w:t>
      </w:r>
      <w:r>
        <w:rPr>
          <w:rFonts w:hint="eastAsia" w:ascii="Times New Roman" w:hAnsi="Times New Roman" w:eastAsia="宋体" w:cs="Times New Roman"/>
          <w:sz w:val="28"/>
          <w:szCs w:val="28"/>
        </w:rPr>
        <w:t>成本低于未添加非肉蛋白的产品，</w:t>
      </w:r>
      <w:r>
        <w:rPr>
          <w:rFonts w:ascii="Times New Roman" w:hAnsi="Times New Roman" w:eastAsia="宋体" w:cs="Times New Roman"/>
          <w:sz w:val="28"/>
          <w:szCs w:val="28"/>
        </w:rPr>
        <w:t>导致合规性肉类制品企业的产品在市场上</w:t>
      </w:r>
      <w:r>
        <w:rPr>
          <w:rFonts w:hint="eastAsia" w:ascii="Times New Roman" w:hAnsi="Times New Roman" w:eastAsia="宋体" w:cs="Times New Roman"/>
          <w:sz w:val="28"/>
          <w:szCs w:val="28"/>
        </w:rPr>
        <w:t>销售</w:t>
      </w:r>
      <w:r>
        <w:rPr>
          <w:rFonts w:ascii="Times New Roman" w:hAnsi="Times New Roman" w:eastAsia="宋体" w:cs="Times New Roman"/>
          <w:sz w:val="28"/>
          <w:szCs w:val="28"/>
        </w:rPr>
        <w:t>受阻，竞争力不足，长此以往影响企业的生存及发展，也不利于肉类产业的健康发展。此外，部分非肉蛋白中存在过敏原，而不按实标注会危害过敏人群的身体健康，进一步损害了消费者的权益。</w:t>
      </w:r>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目前，以PCR为主的分子生物学</w:t>
      </w:r>
      <w:r>
        <w:rPr>
          <w:rFonts w:hint="eastAsia" w:ascii="Times New Roman" w:hAnsi="Times New Roman" w:eastAsia="宋体" w:cs="Times New Roman"/>
          <w:sz w:val="28"/>
          <w:szCs w:val="28"/>
        </w:rPr>
        <w:t>在肉制品中植物源性</w:t>
      </w:r>
      <w:r>
        <w:rPr>
          <w:rFonts w:ascii="Times New Roman" w:hAnsi="Times New Roman" w:eastAsia="宋体" w:cs="Times New Roman"/>
          <w:sz w:val="28"/>
          <w:szCs w:val="28"/>
        </w:rPr>
        <w:t>鉴别方法仅是对单一植物源性成分进行鉴别，如SN/T 1961.19-2013《出口食品过敏原成分检测 第19部分：实时荧光PCR方法检测大豆成分》，鉴别种类受限，成本价格高，也无法实现多种植物蛋白的同时鉴别；此外，针对同一物种的不同</w:t>
      </w:r>
      <w:r>
        <w:rPr>
          <w:rFonts w:hint="eastAsia" w:ascii="Times New Roman" w:hAnsi="Times New Roman" w:eastAsia="宋体" w:cs="Times New Roman"/>
          <w:sz w:val="28"/>
          <w:szCs w:val="28"/>
        </w:rPr>
        <w:t>组织</w:t>
      </w:r>
      <w:r>
        <w:rPr>
          <w:rFonts w:ascii="Times New Roman" w:hAnsi="Times New Roman" w:eastAsia="宋体" w:cs="Times New Roman"/>
          <w:sz w:val="28"/>
          <w:szCs w:val="28"/>
        </w:rPr>
        <w:t>来源，PCR检测方法暂时无法进行区分，如鸡肉和鸡蛋。</w:t>
      </w:r>
      <w:r>
        <w:rPr>
          <w:rFonts w:hint="eastAsia" w:ascii="Times New Roman" w:hAnsi="Times New Roman" w:eastAsia="宋体" w:cs="Times New Roman"/>
          <w:sz w:val="28"/>
          <w:szCs w:val="28"/>
        </w:rPr>
        <w:t>当下，</w:t>
      </w:r>
      <w:r>
        <w:rPr>
          <w:rFonts w:ascii="Times New Roman" w:hAnsi="Times New Roman" w:eastAsia="宋体" w:cs="Times New Roman"/>
          <w:sz w:val="28"/>
          <w:szCs w:val="28"/>
        </w:rPr>
        <w:t>通过测定不同物种</w:t>
      </w:r>
      <w:r>
        <w:rPr>
          <w:rFonts w:hint="eastAsia" w:ascii="Times New Roman" w:hAnsi="Times New Roman" w:eastAsia="宋体" w:cs="Times New Roman"/>
          <w:sz w:val="28"/>
          <w:szCs w:val="28"/>
        </w:rPr>
        <w:t>靶标</w:t>
      </w:r>
      <w:r>
        <w:rPr>
          <w:rFonts w:ascii="Times New Roman" w:hAnsi="Times New Roman" w:eastAsia="宋体" w:cs="Times New Roman"/>
          <w:sz w:val="28"/>
          <w:szCs w:val="28"/>
        </w:rPr>
        <w:t>多肽来进行源性成分鉴别的质谱方法</w:t>
      </w:r>
      <w:r>
        <w:rPr>
          <w:rFonts w:hint="eastAsia" w:ascii="Times New Roman" w:hAnsi="Times New Roman" w:eastAsia="宋体" w:cs="Times New Roman"/>
          <w:sz w:val="28"/>
          <w:szCs w:val="28"/>
        </w:rPr>
        <w:t>已</w:t>
      </w:r>
      <w:r>
        <w:rPr>
          <w:rFonts w:ascii="Times New Roman" w:hAnsi="Times New Roman" w:eastAsia="宋体" w:cs="Times New Roman"/>
          <w:sz w:val="28"/>
          <w:szCs w:val="28"/>
        </w:rPr>
        <w:t>成为研究热点，所测定的</w:t>
      </w:r>
      <w:r>
        <w:rPr>
          <w:rFonts w:hint="eastAsia" w:ascii="Times New Roman" w:hAnsi="Times New Roman" w:eastAsia="宋体" w:cs="Times New Roman"/>
          <w:sz w:val="28"/>
          <w:szCs w:val="28"/>
        </w:rPr>
        <w:t>多肽即</w:t>
      </w:r>
      <w:r>
        <w:rPr>
          <w:rFonts w:ascii="Times New Roman" w:hAnsi="Times New Roman" w:eastAsia="宋体" w:cs="Times New Roman"/>
          <w:sz w:val="28"/>
          <w:szCs w:val="28"/>
        </w:rPr>
        <w:t>蛋白质一级</w:t>
      </w:r>
      <w:r>
        <w:rPr>
          <w:rFonts w:hint="eastAsia" w:ascii="Times New Roman" w:hAnsi="Times New Roman" w:eastAsia="宋体" w:cs="Times New Roman"/>
          <w:sz w:val="28"/>
          <w:szCs w:val="28"/>
        </w:rPr>
        <w:t>氨基酸序列</w:t>
      </w:r>
      <w:r>
        <w:rPr>
          <w:rFonts w:ascii="Times New Roman" w:hAnsi="Times New Roman" w:eastAsia="宋体" w:cs="Times New Roman"/>
          <w:sz w:val="28"/>
          <w:szCs w:val="28"/>
        </w:rPr>
        <w:t>的热稳定比DNA的稳定性高，更适合深加工样品的测定。</w:t>
      </w:r>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畜禽肉制品中非肉类蛋白的测定标准的建立，为核实加工肉制品中的具体成分提供方法依据，对推动肉制品行业的健康发展具有重要意义，并对净化产业链、提高产业信誉度、避免假冒原料和产品对产业的伤害也具有重要意义；同时能为监管机构快速准确检测肉制品中所含有的非肉</w:t>
      </w:r>
      <w:r>
        <w:rPr>
          <w:rFonts w:hint="eastAsia" w:ascii="Times New Roman" w:hAnsi="Times New Roman" w:eastAsia="宋体" w:cs="Times New Roman"/>
          <w:sz w:val="28"/>
          <w:szCs w:val="28"/>
        </w:rPr>
        <w:t>类蛋白</w:t>
      </w:r>
      <w:r>
        <w:rPr>
          <w:rFonts w:ascii="Times New Roman" w:hAnsi="Times New Roman" w:eastAsia="宋体" w:cs="Times New Roman"/>
          <w:sz w:val="28"/>
          <w:szCs w:val="28"/>
        </w:rPr>
        <w:t>成分提供技术支持，为打击肉类产品成分标识不准确、刻意隐瞒等违法违规行为提供坚实的技术保障。</w:t>
      </w:r>
    </w:p>
    <w:p>
      <w:pPr>
        <w:pStyle w:val="2"/>
        <w:rPr>
          <w:rFonts w:ascii="Times New Roman" w:hAnsi="Times New Roman" w:cs="Times New Roman"/>
        </w:rPr>
      </w:pPr>
      <w:r>
        <w:rPr>
          <w:rFonts w:ascii="Times New Roman" w:hAnsi="Times New Roman" w:cs="Times New Roman" w:eastAsiaTheme="minorEastAsia"/>
          <w:szCs w:val="44"/>
        </w:rPr>
        <w:t>三、</w:t>
      </w:r>
      <w:r>
        <w:rPr>
          <w:rFonts w:ascii="宋体" w:hAnsi="宋体" w:cs="Times New Roman"/>
        </w:rPr>
        <w:t>标准编制</w:t>
      </w:r>
      <w:r>
        <w:rPr>
          <w:rFonts w:ascii="宋体" w:hAnsi="宋体" w:cs="Times New Roman"/>
          <w:szCs w:val="44"/>
        </w:rPr>
        <w:t>过程</w:t>
      </w:r>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本中心在采用</w:t>
      </w:r>
      <w:r>
        <w:rPr>
          <w:rFonts w:hint="eastAsia" w:ascii="Times New Roman" w:hAnsi="Times New Roman" w:eastAsia="宋体" w:cs="Times New Roman"/>
          <w:sz w:val="28"/>
          <w:szCs w:val="28"/>
        </w:rPr>
        <w:t>液相色谱-串联质谱（LC-MS/MS）</w:t>
      </w:r>
      <w:r>
        <w:rPr>
          <w:rFonts w:ascii="Times New Roman" w:hAnsi="Times New Roman" w:eastAsia="宋体" w:cs="Times New Roman"/>
          <w:sz w:val="28"/>
          <w:szCs w:val="28"/>
        </w:rPr>
        <w:t>方法测定物种真实性方面，有连续长达十年的研究基础。在本方法的研制过程中，结合前期工作基础及国内外相关文献，筛选大豆蛋白、豌豆蛋白、小麦蛋白、花生蛋白及蛋液（包括蛋清和蛋黄）的专属性多肽信息，将多肽信息转化为离子信息导入LC-MS/MS中，</w:t>
      </w:r>
      <w:r>
        <w:rPr>
          <w:rFonts w:hint="eastAsia" w:ascii="Times New Roman" w:hAnsi="Times New Roman" w:eastAsia="宋体" w:cs="Times New Roman"/>
          <w:sz w:val="28"/>
          <w:szCs w:val="28"/>
        </w:rPr>
        <w:t>并</w:t>
      </w:r>
      <w:r>
        <w:rPr>
          <w:rFonts w:ascii="Times New Roman" w:hAnsi="Times New Roman" w:eastAsia="宋体" w:cs="Times New Roman"/>
          <w:sz w:val="28"/>
          <w:szCs w:val="28"/>
        </w:rPr>
        <w:t>进行多物种特异性验证，在此基础之上对物种检出限进行探索，本实验室在已有工作基础上进行了多次实验，发现本方法能准确测定大豆蛋白、豌豆蛋白、小麦蛋白、花生蛋白及蛋液成分，通过具体实验数据考察，最终确定了该方法的可行性。</w:t>
      </w:r>
    </w:p>
    <w:p>
      <w:pPr>
        <w:pStyle w:val="2"/>
        <w:rPr>
          <w:rFonts w:ascii="Times New Roman" w:hAnsi="Times New Roman" w:cs="Times New Roman"/>
        </w:rPr>
      </w:pPr>
      <w:r>
        <w:rPr>
          <w:rFonts w:ascii="Times New Roman" w:hAnsi="Times New Roman" w:cs="Times New Roman"/>
        </w:rPr>
        <w:t>四、标准主要内容说明</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标准制定过程中的技术路线如图如下所示：</w:t>
      </w:r>
    </w:p>
    <w:p>
      <w:pPr>
        <w:rPr>
          <w:rFonts w:hint="eastAsia"/>
        </w:rPr>
      </w:pPr>
      <w:r>
        <w:drawing>
          <wp:inline distT="0" distB="0" distL="0" distR="0">
            <wp:extent cx="5274310" cy="4039235"/>
            <wp:effectExtent l="0" t="0" r="0" b="0"/>
            <wp:docPr id="6669187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918765" name="图片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274310" cy="4039235"/>
                    </a:xfrm>
                    <a:prstGeom prst="rect">
                      <a:avLst/>
                    </a:prstGeom>
                    <a:noFill/>
                    <a:ln>
                      <a:noFill/>
                    </a:ln>
                  </pic:spPr>
                </pic:pic>
              </a:graphicData>
            </a:graphic>
          </wp:inline>
        </w:drawing>
      </w:r>
    </w:p>
    <w:p>
      <w:pPr>
        <w:pStyle w:val="3"/>
        <w:rPr>
          <w:rFonts w:ascii="Times New Roman" w:hAnsi="Times New Roman" w:cs="Times New Roman"/>
        </w:rPr>
      </w:pPr>
      <w:r>
        <w:rPr>
          <w:rFonts w:ascii="Times New Roman" w:hAnsi="Times New Roman" w:cs="Times New Roman"/>
        </w:rPr>
        <w:t>（一）标准适用范围</w:t>
      </w:r>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本标准适用于肉制品中大豆蛋白、花生蛋白、豌豆蛋白、小麦蛋白、蛋液的测定。</w:t>
      </w:r>
    </w:p>
    <w:p>
      <w:pPr>
        <w:pStyle w:val="4"/>
        <w:rPr>
          <w:rFonts w:ascii="Times New Roman" w:hAnsi="Times New Roman" w:cs="Times New Roman"/>
        </w:rPr>
      </w:pPr>
      <w:r>
        <w:rPr>
          <w:rFonts w:hint="eastAsia" w:ascii="Times New Roman" w:hAnsi="Times New Roman" w:cs="Times New Roman"/>
        </w:rPr>
        <w:t>非肉类蛋白</w:t>
      </w:r>
      <w:r>
        <w:rPr>
          <w:rFonts w:ascii="Times New Roman" w:hAnsi="Times New Roman" w:cs="Times New Roman"/>
        </w:rPr>
        <w:t>的</w:t>
      </w:r>
      <w:r>
        <w:rPr>
          <w:rFonts w:hint="eastAsia" w:ascii="Times New Roman" w:hAnsi="Times New Roman" w:cs="Times New Roman"/>
        </w:rPr>
        <w:t>选择</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依据当前标准SB/T 10823-2012《畜禽肉制品加工中使用非肉类蛋白质制品导则》、NY/T 2791-2015《肉制品加工中非肉类蛋白质使用导则》中的规定，非肉类蛋白主要分为3类，即乳蛋白、植物蛋白、其他类蛋白。</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1、乳蛋白质制品（MPP），指脱脂后干物质中蛋白质含量不小于25%（质量分数）的乳和乳制品。包括液态奶、全脂乳粉、脱脂乳粉、乳清蛋白粉、酸性酪蛋白、凝乳酶酪蛋白、酪蛋白酸盐等。当时申请标准时，据悉有一家机构正在研究乳蛋白，为避免标准之间的重复，因此将此类蛋白排除。</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2、植物蛋白（VPP），指从植物原料中除去水、油、淀粉、糖类物质后得到的蛋白质含量≥40%的产品。在标准SB/T 10823-2012中包括大豆蛋白、小麦蛋白、花生蛋白及豌豆蛋白，标准NY/T 2791-2015中还包括玉米蛋白和植物拉丝蛋白，其中植物拉丝蛋白通常以植物蛋白（如大豆蛋白、花生蛋白、小麦面筋等）为主要原料，通过膨化挤压加工技术（干法挤压），形成类似于肉的组织口感，但是其原料还是上述的几种植物蛋白。本次标准考虑到企业肉制品中植物蛋白的使用频次及植物蛋白的过敏情况，最终将大豆蛋白、小麦蛋白、花生蛋白及豌豆蛋白纳入测定范围。</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3、</w:t>
      </w:r>
      <w:bookmarkStart w:id="0" w:name="OLE_LINK1"/>
      <w:r>
        <w:rPr>
          <w:rFonts w:hint="eastAsia" w:ascii="Times New Roman" w:hAnsi="Times New Roman" w:eastAsia="宋体" w:cs="Times New Roman"/>
          <w:sz w:val="28"/>
          <w:szCs w:val="28"/>
        </w:rPr>
        <w:t>其他类蛋白质制品</w:t>
      </w:r>
      <w:bookmarkEnd w:id="0"/>
      <w:r>
        <w:rPr>
          <w:rFonts w:hint="eastAsia" w:ascii="Times New Roman" w:hAnsi="Times New Roman" w:eastAsia="宋体" w:cs="Times New Roman"/>
          <w:sz w:val="28"/>
          <w:szCs w:val="28"/>
        </w:rPr>
        <w:t>包括蛋类蛋白质制品、血类蛋白质制品、鱼肉蛋白制品和骨蛋白制品等。其中蛋类蛋白质制品在市场中广泛应用的是鸡蛋液。血类蛋白质制品在国内的应用程度较低，虽然我国是畜禽养殖大国，每年产生大量的血液资源，但目前对血液的深加工利用程度较低，主要是由于技术方面的原因，使用化学水解法成本较低，但会影响氨基酸的完整性；而酶解法高效且可持续，但成本较高，因此目前大部分血液资源仍被加工成低附加值的产品，如血豆腐和血肠。鱼肉蛋白制品的应用程度正逐渐增加，目前主要应用于鱼肉重组制品、鱼丸、鱼肉香肠、鱼肉汉堡，但由于鱼肉蛋白的提取和加工成本较高，特别是高品质的鱼蛋白产品，因此国内鱼肉加工率较低，仍以鲜食为主。目前骨蛋白加工技术相对落后，骨蛋白的深加工利用率不足10%，导致高附加值产品的开发非常有限，这也影响了整体成本效益，因此骨蛋白整体的应用程度相对较低。综合考虑实用性及可操作性，其他类蛋白质制品只考虑将鸡蛋液纳入测定范围。</w:t>
      </w:r>
    </w:p>
    <w:p>
      <w:pPr>
        <w:pStyle w:val="3"/>
        <w:rPr>
          <w:rFonts w:ascii="Times New Roman" w:hAnsi="Times New Roman" w:cs="Times New Roman"/>
        </w:rPr>
      </w:pPr>
      <w:r>
        <w:rPr>
          <w:rFonts w:ascii="Times New Roman" w:hAnsi="Times New Roman" w:cs="Times New Roman"/>
        </w:rPr>
        <w:t>（二）检测原理</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样品经蛋白提取溶液提取、胰蛋白酶酶解、固相萃取柱净化后，采用LC-MS/MS方法测定物种专属性多肽质谱信息，通过对比分析样品与对照试验谱图，进而判定样品中的非肉类蛋白成分</w:t>
      </w:r>
      <w:r>
        <w:rPr>
          <w:rFonts w:ascii="Times New Roman" w:hAnsi="Times New Roman" w:eastAsia="宋体" w:cs="Times New Roman"/>
          <w:sz w:val="28"/>
          <w:szCs w:val="28"/>
        </w:rPr>
        <w:t>。</w:t>
      </w:r>
    </w:p>
    <w:p>
      <w:pPr>
        <w:pStyle w:val="3"/>
        <w:rPr>
          <w:rFonts w:ascii="Times New Roman" w:hAnsi="Times New Roman" w:cs="Times New Roman"/>
        </w:rPr>
      </w:pPr>
      <w:r>
        <w:rPr>
          <w:rFonts w:ascii="Times New Roman" w:hAnsi="Times New Roman" w:cs="Times New Roman"/>
        </w:rPr>
        <w:t>（三）标准主要实验参数的确定</w:t>
      </w:r>
    </w:p>
    <w:p>
      <w:pPr>
        <w:pStyle w:val="4"/>
        <w:rPr>
          <w:rFonts w:ascii="Times New Roman" w:hAnsi="Times New Roman" w:cs="Times New Roman"/>
        </w:rPr>
      </w:pPr>
      <w:r>
        <w:rPr>
          <w:rFonts w:ascii="Times New Roman" w:hAnsi="Times New Roman" w:cs="Times New Roman"/>
        </w:rPr>
        <w:t>1. 物种专属性多肽的筛选</w:t>
      </w:r>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物种专属性多肽的筛选是整个标准的关键步骤，直接影响标准测定的准确性。</w:t>
      </w:r>
      <w:r>
        <w:rPr>
          <w:rFonts w:hint="eastAsia" w:ascii="Times New Roman" w:hAnsi="Times New Roman" w:eastAsia="宋体" w:cs="Times New Roman"/>
          <w:sz w:val="28"/>
          <w:szCs w:val="28"/>
        </w:rPr>
        <w:t>总共分为3个步骤：软件及蛋白库初步筛选、LC-MS/MS质谱筛选、物种特异性验证。</w:t>
      </w:r>
    </w:p>
    <w:p>
      <w:pPr>
        <w:pStyle w:val="5"/>
        <w:rPr>
          <w:rFonts w:ascii="Times New Roman" w:hAnsi="Times New Roman" w:cs="Times New Roman"/>
        </w:rPr>
      </w:pPr>
      <w:r>
        <w:rPr>
          <w:rFonts w:ascii="Times New Roman" w:hAnsi="Times New Roman" w:cs="Times New Roman"/>
        </w:rPr>
        <w:t xml:space="preserve">1.1 </w:t>
      </w:r>
      <w:r>
        <w:rPr>
          <w:rFonts w:hint="eastAsia" w:ascii="Times New Roman" w:hAnsi="Times New Roman" w:cs="Times New Roman"/>
        </w:rPr>
        <w:t>软件及蛋白库初步筛选</w:t>
      </w:r>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分别对均质</w:t>
      </w:r>
      <w:r>
        <w:rPr>
          <w:rFonts w:hint="eastAsia" w:ascii="Times New Roman" w:hAnsi="Times New Roman" w:eastAsia="宋体" w:cs="Times New Roman"/>
          <w:sz w:val="28"/>
          <w:szCs w:val="28"/>
        </w:rPr>
        <w:t>后</w:t>
      </w:r>
      <w:r>
        <w:rPr>
          <w:rFonts w:ascii="Times New Roman" w:hAnsi="Times New Roman" w:eastAsia="宋体" w:cs="Times New Roman"/>
          <w:sz w:val="28"/>
          <w:szCs w:val="28"/>
        </w:rPr>
        <w:t>的大豆、豌豆、小麦、花生及</w:t>
      </w:r>
      <w:r>
        <w:rPr>
          <w:rFonts w:hint="eastAsia" w:ascii="Times New Roman" w:hAnsi="Times New Roman" w:eastAsia="宋体" w:cs="Times New Roman"/>
          <w:sz w:val="28"/>
          <w:szCs w:val="28"/>
        </w:rPr>
        <w:t>全</w:t>
      </w:r>
      <w:r>
        <w:rPr>
          <w:rFonts w:ascii="Times New Roman" w:hAnsi="Times New Roman" w:eastAsia="宋体" w:cs="Times New Roman"/>
          <w:sz w:val="28"/>
          <w:szCs w:val="28"/>
        </w:rPr>
        <w:t>蛋液样品进行样品前处理。采用高分辨质谱Thermo QE HF-X</w:t>
      </w:r>
      <w:r>
        <w:rPr>
          <w:rFonts w:hint="eastAsia" w:ascii="Times New Roman" w:hAnsi="Times New Roman" w:eastAsia="宋体" w:cs="Times New Roman"/>
          <w:sz w:val="28"/>
          <w:szCs w:val="28"/>
        </w:rPr>
        <w:t>对样品</w:t>
      </w:r>
      <w:r>
        <w:rPr>
          <w:rFonts w:ascii="Times New Roman" w:hAnsi="Times New Roman" w:eastAsia="宋体" w:cs="Times New Roman"/>
          <w:sz w:val="28"/>
          <w:szCs w:val="28"/>
        </w:rPr>
        <w:t>进行</w:t>
      </w:r>
      <w:r>
        <w:rPr>
          <w:rFonts w:hint="eastAsia" w:ascii="Times New Roman" w:hAnsi="Times New Roman" w:eastAsia="宋体" w:cs="Times New Roman"/>
          <w:sz w:val="28"/>
          <w:szCs w:val="28"/>
        </w:rPr>
        <w:t>Full Mass-ddMS</w:t>
      </w:r>
      <w:r>
        <w:rPr>
          <w:rFonts w:hint="eastAsia" w:ascii="Times New Roman" w:hAnsi="Times New Roman" w:eastAsia="宋体" w:cs="Times New Roman"/>
          <w:sz w:val="28"/>
          <w:szCs w:val="28"/>
          <w:vertAlign w:val="superscript"/>
        </w:rPr>
        <w:t>2</w:t>
      </w:r>
      <w:r>
        <w:rPr>
          <w:rFonts w:ascii="Times New Roman" w:hAnsi="Times New Roman" w:eastAsia="宋体" w:cs="Times New Roman"/>
          <w:sz w:val="28"/>
          <w:szCs w:val="28"/>
        </w:rPr>
        <w:t>数据采集，将所获得的数据用Proteome Discoverer（PD）蛋白组学分析软件分析，从UniProt数据库中导入物种蛋白Fasta文件，</w:t>
      </w:r>
      <w:r>
        <w:rPr>
          <w:rFonts w:hint="eastAsia" w:ascii="Times New Roman" w:hAnsi="Times New Roman" w:eastAsia="宋体" w:cs="Times New Roman"/>
          <w:sz w:val="28"/>
          <w:szCs w:val="28"/>
        </w:rPr>
        <w:t>最终</w:t>
      </w:r>
      <w:r>
        <w:rPr>
          <w:rFonts w:ascii="Times New Roman" w:hAnsi="Times New Roman" w:eastAsia="宋体" w:cs="Times New Roman"/>
          <w:sz w:val="28"/>
          <w:szCs w:val="28"/>
        </w:rPr>
        <w:t>获得各个物种的多肽信息</w:t>
      </w:r>
      <w:r>
        <w:rPr>
          <w:rFonts w:hint="eastAsia" w:ascii="Times New Roman" w:hAnsi="Times New Roman" w:eastAsia="宋体" w:cs="Times New Roman"/>
          <w:sz w:val="28"/>
          <w:szCs w:val="28"/>
        </w:rPr>
        <w:t>，共获得1376个蛋白组，5225条多肽。</w:t>
      </w:r>
      <w:r>
        <w:rPr>
          <w:rFonts w:ascii="Times New Roman" w:hAnsi="Times New Roman" w:eastAsia="宋体" w:cs="Times New Roman"/>
          <w:sz w:val="28"/>
          <w:szCs w:val="28"/>
        </w:rPr>
        <w:t>通过软件数据分析，筛选仅来自同一物种的多肽。将上述得到的多肽利用Blast</w:t>
      </w:r>
      <w:r>
        <w:rPr>
          <w:rFonts w:hint="eastAsia" w:ascii="Times New Roman" w:hAnsi="Times New Roman" w:eastAsia="宋体" w:cs="Times New Roman"/>
          <w:sz w:val="28"/>
          <w:szCs w:val="28"/>
        </w:rPr>
        <w:t>物种</w:t>
      </w:r>
      <w:r>
        <w:rPr>
          <w:rFonts w:ascii="Times New Roman" w:hAnsi="Times New Roman" w:eastAsia="宋体" w:cs="Times New Roman"/>
          <w:sz w:val="28"/>
          <w:szCs w:val="28"/>
        </w:rPr>
        <w:t>分析</w:t>
      </w:r>
      <w:r>
        <w:rPr>
          <w:rFonts w:hint="eastAsia" w:ascii="Times New Roman" w:hAnsi="Times New Roman" w:eastAsia="宋体" w:cs="Times New Roman"/>
          <w:sz w:val="28"/>
          <w:szCs w:val="28"/>
        </w:rPr>
        <w:t>方式</w:t>
      </w:r>
      <w:r>
        <w:rPr>
          <w:rFonts w:ascii="Times New Roman" w:hAnsi="Times New Roman" w:eastAsia="宋体" w:cs="Times New Roman"/>
          <w:sz w:val="28"/>
          <w:szCs w:val="28"/>
        </w:rPr>
        <w:t>获取物种唯一性信息，筛选多肽来源物种中仅来源于单一物种的多肽，如前期大豆筛选的多肽FEEFFGPGGR的物种来源也包括豇豆，VLIVPQNFVVAAR在莲藕、山楂中也会存在，</w:t>
      </w:r>
      <w:r>
        <w:rPr>
          <w:rFonts w:hint="eastAsia" w:ascii="Times New Roman" w:hAnsi="Times New Roman" w:eastAsia="宋体" w:cs="Times New Roman"/>
          <w:sz w:val="28"/>
          <w:szCs w:val="28"/>
        </w:rPr>
        <w:t>多肽LQSGDALR的物种仅来源于大豆，如</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_Ref179794685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ascii="Times New Roman" w:hAnsi="Times New Roman" w:eastAsia="宋体" w:cs="Times New Roman"/>
          <w:sz w:val="28"/>
          <w:szCs w:val="28"/>
        </w:rPr>
        <w:t>图 1</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所示，</w:t>
      </w:r>
      <w:r>
        <w:rPr>
          <w:rFonts w:ascii="Times New Roman" w:hAnsi="Times New Roman" w:eastAsia="宋体" w:cs="Times New Roman"/>
          <w:sz w:val="28"/>
          <w:szCs w:val="28"/>
        </w:rPr>
        <w:t>因此，排除</w:t>
      </w:r>
      <w:r>
        <w:rPr>
          <w:rFonts w:hint="eastAsia" w:ascii="Times New Roman" w:hAnsi="Times New Roman" w:eastAsia="宋体" w:cs="Times New Roman"/>
          <w:sz w:val="28"/>
          <w:szCs w:val="28"/>
        </w:rPr>
        <w:t>非单一物种来源的</w:t>
      </w:r>
      <w:r>
        <w:rPr>
          <w:rFonts w:ascii="Times New Roman" w:hAnsi="Times New Roman" w:eastAsia="宋体" w:cs="Times New Roman"/>
          <w:sz w:val="28"/>
          <w:szCs w:val="28"/>
        </w:rPr>
        <w:t>多肽。</w:t>
      </w:r>
    </w:p>
    <w:p>
      <w:pPr>
        <w:jc w:val="center"/>
        <w:rPr>
          <w:rFonts w:ascii="Times New Roman" w:hAnsi="Times New Roman" w:eastAsia="宋体" w:cs="Times New Roman"/>
          <w:sz w:val="28"/>
          <w:szCs w:val="28"/>
        </w:rPr>
      </w:pPr>
      <w:r>
        <w:rPr>
          <w:rFonts w:ascii="Times New Roman" w:hAnsi="Times New Roman" w:eastAsia="宋体" w:cs="Times New Roman"/>
          <w:sz w:val="28"/>
          <w:szCs w:val="28"/>
        </w:rPr>
        <w:drawing>
          <wp:inline distT="0" distB="0" distL="0" distR="0">
            <wp:extent cx="5124450" cy="2630805"/>
            <wp:effectExtent l="0" t="0" r="0" b="0"/>
            <wp:docPr id="2269222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922241" name="图片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5147928" cy="2643292"/>
                    </a:xfrm>
                    <a:prstGeom prst="rect">
                      <a:avLst/>
                    </a:prstGeom>
                    <a:noFill/>
                  </pic:spPr>
                </pic:pic>
              </a:graphicData>
            </a:graphic>
          </wp:inline>
        </w:drawing>
      </w:r>
    </w:p>
    <w:p>
      <w:pPr>
        <w:pStyle w:val="6"/>
        <w:jc w:val="center"/>
        <w:rPr>
          <w:rFonts w:ascii="Times New Roman" w:hAnsi="Times New Roman" w:eastAsia="宋体" w:cs="Times New Roman"/>
          <w:sz w:val="21"/>
          <w:szCs w:val="21"/>
        </w:rPr>
      </w:pPr>
      <w:bookmarkStart w:id="1" w:name="_Ref179794685"/>
      <w:r>
        <w:rPr>
          <w:rFonts w:ascii="Times New Roman" w:hAnsi="Times New Roman" w:eastAsia="宋体" w:cs="Times New Roman"/>
          <w:sz w:val="21"/>
          <w:szCs w:val="21"/>
        </w:rPr>
        <w:t xml:space="preserve">图 </w:t>
      </w:r>
      <w:r>
        <w:rPr>
          <w:rFonts w:ascii="Times New Roman" w:hAnsi="Times New Roman" w:eastAsia="宋体" w:cs="Times New Roman"/>
          <w:sz w:val="21"/>
          <w:szCs w:val="21"/>
        </w:rPr>
        <w:fldChar w:fldCharType="begin"/>
      </w:r>
      <w:r>
        <w:rPr>
          <w:rFonts w:ascii="Times New Roman" w:hAnsi="Times New Roman" w:eastAsia="宋体" w:cs="Times New Roman"/>
          <w:sz w:val="21"/>
          <w:szCs w:val="21"/>
        </w:rPr>
        <w:instrText xml:space="preserve"> SEQ 图 \* ARABIC </w:instrText>
      </w:r>
      <w:r>
        <w:rPr>
          <w:rFonts w:ascii="Times New Roman" w:hAnsi="Times New Roman" w:eastAsia="宋体" w:cs="Times New Roman"/>
          <w:sz w:val="21"/>
          <w:szCs w:val="21"/>
        </w:rPr>
        <w:fldChar w:fldCharType="separate"/>
      </w:r>
      <w:r>
        <w:rPr>
          <w:rFonts w:ascii="Times New Roman" w:hAnsi="Times New Roman" w:eastAsia="宋体" w:cs="Times New Roman"/>
          <w:sz w:val="21"/>
          <w:szCs w:val="21"/>
        </w:rPr>
        <w:t>1</w:t>
      </w:r>
      <w:r>
        <w:rPr>
          <w:rFonts w:ascii="Times New Roman" w:hAnsi="Times New Roman" w:eastAsia="宋体" w:cs="Times New Roman"/>
          <w:sz w:val="21"/>
          <w:szCs w:val="21"/>
        </w:rPr>
        <w:fldChar w:fldCharType="end"/>
      </w:r>
      <w:bookmarkEnd w:id="1"/>
      <w:r>
        <w:rPr>
          <w:rFonts w:ascii="Times New Roman" w:hAnsi="Times New Roman" w:eastAsia="宋体" w:cs="Times New Roman"/>
          <w:sz w:val="21"/>
          <w:szCs w:val="21"/>
        </w:rPr>
        <w:t xml:space="preserve"> Blast分析结果示例</w:t>
      </w:r>
    </w:p>
    <w:p>
      <w:pPr>
        <w:pStyle w:val="5"/>
        <w:rPr>
          <w:rFonts w:ascii="Times New Roman" w:hAnsi="Times New Roman" w:cs="Times New Roman"/>
        </w:rPr>
      </w:pPr>
      <w:r>
        <w:rPr>
          <w:rFonts w:ascii="Times New Roman" w:hAnsi="Times New Roman" w:cs="Times New Roman"/>
        </w:rPr>
        <w:t xml:space="preserve">1.2 </w:t>
      </w:r>
      <w:r>
        <w:rPr>
          <w:rFonts w:hint="eastAsia" w:ascii="Times New Roman" w:hAnsi="Times New Roman" w:cs="Times New Roman"/>
        </w:rPr>
        <w:t>LC-MS/MS质谱筛选</w:t>
      </w:r>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将</w:t>
      </w:r>
      <w:r>
        <w:rPr>
          <w:rFonts w:hint="eastAsia" w:ascii="Times New Roman" w:hAnsi="Times New Roman" w:eastAsia="宋体" w:cs="Times New Roman"/>
          <w:sz w:val="28"/>
          <w:szCs w:val="28"/>
        </w:rPr>
        <w:t>初步筛选的多肽，通过分析高分辨质谱扫描的子离子谱图（</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REF _Ref179794749 \h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图</w:t>
      </w:r>
      <w:r>
        <w:rPr>
          <w:rFonts w:hint="eastAsia" w:ascii="Times New Roman" w:hAnsi="Times New Roman" w:eastAsia="宋体" w:cs="Times New Roman"/>
          <w:szCs w:val="21"/>
        </w:rPr>
        <w:t xml:space="preserve"> </w:t>
      </w:r>
      <w:r>
        <w:rPr>
          <w:rFonts w:ascii="Times New Roman" w:hAnsi="Times New Roman" w:eastAsia="宋体" w:cs="Times New Roman"/>
          <w:szCs w:val="21"/>
        </w:rPr>
        <w:t>2</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提取多肽的离子信息。由于多肽序列的分子量较大，可带多个电荷，一般为2/3电荷，选择响应值高的电荷下的m/z作为母离子，在2级谱图中筛选响应值较高的7个子离子，这是由于高分辨质谱与三重串联四级杆质谱，在质谱原理、分辨率、离子源参数等方面存在不同，因此离子对在不同类型的质谱间的响应情况不同，故需多选择一些子离子作为补充。将离子信息导入至LC-MS/MS中，通过考察多肽每个子离子的峰形、响应情况以及干扰程度，保留峰形好、响应强度高、干扰程度小的多肽及离子，开展后续的实验分析。</w:t>
      </w:r>
    </w:p>
    <w:p>
      <w:pPr>
        <w:rPr>
          <w:rFonts w:ascii="Times New Roman" w:hAnsi="Times New Roman" w:eastAsia="宋体" w:cs="Times New Roman"/>
          <w:sz w:val="28"/>
          <w:szCs w:val="28"/>
        </w:rPr>
      </w:pPr>
      <w:r>
        <w:rPr>
          <w:rFonts w:hint="eastAsia" w:ascii="Times New Roman" w:hAnsi="Times New Roman" w:eastAsia="宋体" w:cs="Times New Roman"/>
          <w:sz w:val="28"/>
          <w:szCs w:val="28"/>
        </w:rPr>
        <w:drawing>
          <wp:inline distT="0" distB="0" distL="0" distR="0">
            <wp:extent cx="5274310" cy="2700020"/>
            <wp:effectExtent l="0" t="0" r="0" b="0"/>
            <wp:docPr id="192710389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103896" name="图片 3"/>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2700020"/>
                    </a:xfrm>
                    <a:prstGeom prst="rect">
                      <a:avLst/>
                    </a:prstGeom>
                  </pic:spPr>
                </pic:pic>
              </a:graphicData>
            </a:graphic>
          </wp:inline>
        </w:drawing>
      </w:r>
    </w:p>
    <w:p>
      <w:pPr>
        <w:pStyle w:val="6"/>
        <w:jc w:val="center"/>
        <w:rPr>
          <w:rFonts w:ascii="Times New Roman" w:hAnsi="Times New Roman" w:eastAsia="宋体" w:cs="Times New Roman"/>
          <w:sz w:val="21"/>
          <w:szCs w:val="21"/>
        </w:rPr>
      </w:pPr>
      <w:bookmarkStart w:id="2" w:name="_Ref179794749"/>
      <w:r>
        <w:rPr>
          <w:rFonts w:hint="eastAsia" w:ascii="Times New Roman" w:hAnsi="Times New Roman" w:eastAsia="宋体" w:cs="Times New Roman"/>
          <w:sz w:val="21"/>
          <w:szCs w:val="21"/>
        </w:rPr>
        <w:t xml:space="preserve">图 </w:t>
      </w:r>
      <w:r>
        <w:rPr>
          <w:rFonts w:hint="eastAsia" w:ascii="Times New Roman" w:hAnsi="Times New Roman" w:eastAsia="宋体" w:cs="Times New Roman"/>
          <w:sz w:val="21"/>
          <w:szCs w:val="21"/>
        </w:rPr>
        <w:fldChar w:fldCharType="begin"/>
      </w:r>
      <w:r>
        <w:rPr>
          <w:rFonts w:hint="eastAsia" w:ascii="Times New Roman" w:hAnsi="Times New Roman" w:eastAsia="宋体" w:cs="Times New Roman"/>
          <w:sz w:val="21"/>
          <w:szCs w:val="21"/>
        </w:rPr>
        <w:instrText xml:space="preserve"> SEQ 图 \* ARABIC </w:instrText>
      </w:r>
      <w:r>
        <w:rPr>
          <w:rFonts w:hint="eastAsia" w:ascii="Times New Roman" w:hAnsi="Times New Roman" w:eastAsia="宋体" w:cs="Times New Roman"/>
          <w:sz w:val="21"/>
          <w:szCs w:val="21"/>
        </w:rPr>
        <w:fldChar w:fldCharType="separate"/>
      </w:r>
      <w:r>
        <w:rPr>
          <w:rFonts w:ascii="Times New Roman" w:hAnsi="Times New Roman" w:eastAsia="宋体" w:cs="Times New Roman"/>
          <w:sz w:val="21"/>
          <w:szCs w:val="21"/>
        </w:rPr>
        <w:t>2</w:t>
      </w:r>
      <w:r>
        <w:rPr>
          <w:rFonts w:hint="eastAsia" w:ascii="Times New Roman" w:hAnsi="Times New Roman" w:eastAsia="宋体" w:cs="Times New Roman"/>
          <w:sz w:val="21"/>
          <w:szCs w:val="21"/>
        </w:rPr>
        <w:fldChar w:fldCharType="end"/>
      </w:r>
      <w:bookmarkEnd w:id="2"/>
      <w:r>
        <w:rPr>
          <w:rFonts w:hint="eastAsia" w:ascii="Times New Roman" w:hAnsi="Times New Roman" w:eastAsia="宋体" w:cs="Times New Roman"/>
          <w:sz w:val="21"/>
          <w:szCs w:val="21"/>
        </w:rPr>
        <w:t xml:space="preserve"> 多肽的二级子离子质谱图</w:t>
      </w:r>
    </w:p>
    <w:p>
      <w:pPr>
        <w:pStyle w:val="5"/>
        <w:rPr>
          <w:rFonts w:ascii="Times New Roman" w:hAnsi="Times New Roman" w:cs="Times New Roman"/>
        </w:rPr>
      </w:pPr>
      <w:r>
        <w:rPr>
          <w:rFonts w:ascii="Times New Roman" w:hAnsi="Times New Roman" w:cs="Times New Roman"/>
        </w:rPr>
        <w:t>1.3 物种特异性验证</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本次方法主要是对非肉类蛋白大豆蛋白、花生蛋白、豌豆蛋白、小麦蛋白、蛋液进行测定，因此针对源性相近的常用食用物种进行物种特异性测定，植物源性分别测定了绿豆、红豆、蚕豆、扁豆、豇豆、豌豆、黑豆、大米、燕麦、核桃，动物源性分别考察了鹅蛋、鸭蛋、鹌鹑蛋、鸡肉等。数据分析发现，黑豆与黄豆均属大豆科，所有的多肽均能检出，其他的植物无干扰；动物源性分析中，蛋类之间存在相互干扰性，如来源于蛋清溶菌酶的多肽CELAAAMK，同时在鸭蛋、鹅蛋、鹌鹑蛋中检出；蛋黄卵黄蛋白中的VSTELVTGR，同时在鸭蛋、鹅蛋、鹌鹑蛋中检出；此外，鸡肉与蛋液也存在相互干扰，如载脂蛋白b中的SDDGYFFPMPVIR同时能在鸡肉中检出。结合测定结果，排除其他源性同时检出的多肽。</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结合上述的筛选过程，初步确定了各个物种的专属性多肽，详细内容见</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_Ref179794881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 xml:space="preserve">表 </w:t>
      </w:r>
      <w:r>
        <w:rPr>
          <w:rFonts w:ascii="Times New Roman" w:hAnsi="Times New Roman" w:eastAsia="宋体" w:cs="Times New Roman"/>
          <w:sz w:val="28"/>
          <w:szCs w:val="28"/>
        </w:rPr>
        <w:t>1</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。大豆成分的专属性多肽主要来源于Alpha subunit of beta conglycinin（</w:t>
      </w:r>
      <w:r>
        <w:rPr>
          <w:rFonts w:ascii="Times New Roman" w:hAnsi="Times New Roman" w:eastAsia="宋体" w:cs="Times New Roman"/>
          <w:sz w:val="28"/>
          <w:szCs w:val="28"/>
        </w:rPr>
        <w:t>β</w:t>
      </w:r>
      <w:r>
        <w:rPr>
          <w:rFonts w:hint="eastAsia" w:ascii="Times New Roman" w:hAnsi="Times New Roman" w:eastAsia="宋体" w:cs="Times New Roman"/>
          <w:sz w:val="28"/>
          <w:szCs w:val="28"/>
        </w:rPr>
        <w:t>-伴大豆球蛋白）和Glycinin G2（大豆球蛋白G2），豌豆成分的专属性多肽主要来源于Vicilin（豌豆球蛋白），花生成分的专属性多肽主要来源于Arachin Ahy-3（花生球蛋白），小麦成分的专属性多肽主要来源于Alpha amylase/trypsin inhibitor（过敏原</w:t>
      </w:r>
      <w:r>
        <w:rPr>
          <w:rFonts w:ascii="Times New Roman" w:hAnsi="Times New Roman" w:eastAsia="宋体" w:cs="Times New Roman"/>
          <w:sz w:val="28"/>
          <w:szCs w:val="28"/>
        </w:rPr>
        <w:t>α-</w:t>
      </w:r>
      <w:r>
        <w:rPr>
          <w:rFonts w:hint="eastAsia" w:ascii="Times New Roman" w:hAnsi="Times New Roman" w:eastAsia="宋体" w:cs="Times New Roman"/>
          <w:sz w:val="28"/>
          <w:szCs w:val="28"/>
        </w:rPr>
        <w:t>淀粉酶/胰蛋白酶抑制剂）和Low molecular weight glutenin（谷蛋白），蛋清成分的专属性多肽主要来源于Ovalbumin（卵清蛋白），蛋黄成分的专属性多肽主要来源于Apolipoprotein B（载脂蛋白）和Vitellogenin（卵黄蛋白）。</w:t>
      </w:r>
    </w:p>
    <w:p>
      <w:pPr>
        <w:pStyle w:val="6"/>
        <w:jc w:val="center"/>
        <w:rPr>
          <w:rFonts w:ascii="Times New Roman" w:hAnsi="Times New Roman" w:eastAsia="宋体" w:cs="Times New Roman"/>
          <w:sz w:val="21"/>
          <w:szCs w:val="21"/>
        </w:rPr>
      </w:pPr>
      <w:bookmarkStart w:id="3" w:name="_Ref179794881"/>
      <w:r>
        <w:rPr>
          <w:rFonts w:hint="eastAsia" w:ascii="Times New Roman" w:hAnsi="Times New Roman" w:eastAsia="宋体" w:cs="Times New Roman"/>
          <w:sz w:val="21"/>
          <w:szCs w:val="21"/>
        </w:rPr>
        <w:t xml:space="preserve">表 </w:t>
      </w:r>
      <w:r>
        <w:rPr>
          <w:rFonts w:hint="eastAsia" w:ascii="Times New Roman" w:hAnsi="Times New Roman" w:eastAsia="宋体" w:cs="Times New Roman"/>
          <w:sz w:val="21"/>
          <w:szCs w:val="21"/>
        </w:rPr>
        <w:fldChar w:fldCharType="begin"/>
      </w:r>
      <w:r>
        <w:rPr>
          <w:rFonts w:hint="eastAsia" w:ascii="Times New Roman" w:hAnsi="Times New Roman" w:eastAsia="宋体" w:cs="Times New Roman"/>
          <w:sz w:val="21"/>
          <w:szCs w:val="21"/>
        </w:rPr>
        <w:instrText xml:space="preserve"> SEQ 表 \* ARABIC </w:instrText>
      </w:r>
      <w:r>
        <w:rPr>
          <w:rFonts w:hint="eastAsia" w:ascii="Times New Roman" w:hAnsi="Times New Roman" w:eastAsia="宋体" w:cs="Times New Roman"/>
          <w:sz w:val="21"/>
          <w:szCs w:val="21"/>
        </w:rPr>
        <w:fldChar w:fldCharType="separate"/>
      </w:r>
      <w:r>
        <w:rPr>
          <w:rFonts w:ascii="Times New Roman" w:hAnsi="Times New Roman" w:eastAsia="宋体" w:cs="Times New Roman"/>
          <w:sz w:val="21"/>
          <w:szCs w:val="21"/>
        </w:rPr>
        <w:t>1</w:t>
      </w:r>
      <w:r>
        <w:rPr>
          <w:rFonts w:hint="eastAsia" w:ascii="Times New Roman" w:hAnsi="Times New Roman" w:eastAsia="宋体" w:cs="Times New Roman"/>
          <w:sz w:val="21"/>
          <w:szCs w:val="21"/>
        </w:rPr>
        <w:fldChar w:fldCharType="end"/>
      </w:r>
      <w:bookmarkEnd w:id="3"/>
      <w:r>
        <w:rPr>
          <w:rFonts w:hint="eastAsia" w:ascii="Times New Roman" w:hAnsi="Times New Roman" w:eastAsia="宋体" w:cs="Times New Roman"/>
          <w:sz w:val="21"/>
          <w:szCs w:val="21"/>
        </w:rPr>
        <w:t xml:space="preserve"> 物种专属性多肽详细信息</w:t>
      </w:r>
    </w:p>
    <w:tbl>
      <w:tblPr>
        <w:tblStyle w:val="11"/>
        <w:tblW w:w="916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737"/>
        <w:gridCol w:w="3005"/>
        <w:gridCol w:w="2721"/>
        <w:gridCol w:w="850"/>
        <w:gridCol w:w="1856"/>
      </w:tblGrid>
      <w:tr>
        <w:trPr>
          <w:jc w:val="center"/>
        </w:trPr>
        <w:tc>
          <w:tcPr>
            <w:tcW w:w="737" w:type="dxa"/>
            <w:tcBorders>
              <w:top w:val="single" w:color="auto" w:sz="12" w:space="0"/>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物种</w:t>
            </w:r>
          </w:p>
        </w:tc>
        <w:tc>
          <w:tcPr>
            <w:tcW w:w="3005" w:type="dxa"/>
            <w:tcBorders>
              <w:top w:val="single" w:color="auto" w:sz="12" w:space="0"/>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多肽序列</w:t>
            </w:r>
          </w:p>
        </w:tc>
        <w:tc>
          <w:tcPr>
            <w:tcW w:w="2721" w:type="dxa"/>
            <w:tcBorders>
              <w:top w:val="single" w:color="auto" w:sz="12" w:space="0"/>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蛋白来源</w:t>
            </w:r>
          </w:p>
        </w:tc>
        <w:tc>
          <w:tcPr>
            <w:tcW w:w="850" w:type="dxa"/>
            <w:tcBorders>
              <w:top w:val="single" w:color="auto" w:sz="12" w:space="0"/>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母离子</w:t>
            </w:r>
          </w:p>
        </w:tc>
        <w:tc>
          <w:tcPr>
            <w:tcW w:w="1856" w:type="dxa"/>
            <w:tcBorders>
              <w:top w:val="single" w:color="auto" w:sz="12" w:space="0"/>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子离子</w:t>
            </w:r>
          </w:p>
        </w:tc>
      </w:tr>
      <w:tr>
        <w:trPr>
          <w:jc w:val="center"/>
        </w:trPr>
        <w:tc>
          <w:tcPr>
            <w:tcW w:w="737" w:type="dxa"/>
            <w:vMerge w:val="restart"/>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大豆</w:t>
            </w:r>
          </w:p>
        </w:tc>
        <w:tc>
          <w:tcPr>
            <w:tcW w:w="3005" w:type="dxa"/>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LQSGDALR</w:t>
            </w:r>
          </w:p>
        </w:tc>
        <w:tc>
          <w:tcPr>
            <w:tcW w:w="2721" w:type="dxa"/>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Alpha subunit of beta conglycinin (Fragment)</w:t>
            </w:r>
          </w:p>
        </w:tc>
        <w:tc>
          <w:tcPr>
            <w:tcW w:w="850" w:type="dxa"/>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430.2</w:t>
            </w:r>
          </w:p>
        </w:tc>
        <w:tc>
          <w:tcPr>
            <w:tcW w:w="1856" w:type="dxa"/>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359.2/531.3/618.3</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vAlign w:val="center"/>
          </w:tcPr>
          <w:p>
            <w:pPr>
              <w:jc w:val="center"/>
              <w:rPr>
                <w:rFonts w:ascii="Times New Roman" w:hAnsi="Times New Roman" w:eastAsia="宋体" w:cs="Times New Roman"/>
              </w:rPr>
            </w:pPr>
            <w:r>
              <w:rPr>
                <w:rFonts w:ascii="Times New Roman" w:hAnsi="Times New Roman" w:eastAsia="宋体" w:cs="Times New Roman"/>
              </w:rPr>
              <w:t>SPQLQNLR</w:t>
            </w:r>
          </w:p>
        </w:tc>
        <w:tc>
          <w:tcPr>
            <w:tcW w:w="2721" w:type="dxa"/>
            <w:vAlign w:val="center"/>
          </w:tcPr>
          <w:p>
            <w:pPr>
              <w:jc w:val="center"/>
              <w:rPr>
                <w:rFonts w:ascii="Times New Roman" w:hAnsi="Times New Roman" w:eastAsia="宋体" w:cs="Times New Roman"/>
              </w:rPr>
            </w:pPr>
            <w:r>
              <w:rPr>
                <w:rFonts w:ascii="Times New Roman" w:hAnsi="Times New Roman" w:eastAsia="宋体" w:cs="Times New Roman"/>
              </w:rPr>
              <w:t>Alpha subunit of beta conglycinin (Fragment)</w:t>
            </w:r>
          </w:p>
        </w:tc>
        <w:tc>
          <w:tcPr>
            <w:tcW w:w="850" w:type="dxa"/>
            <w:vAlign w:val="center"/>
          </w:tcPr>
          <w:p>
            <w:pPr>
              <w:jc w:val="center"/>
              <w:rPr>
                <w:rFonts w:ascii="Times New Roman" w:hAnsi="Times New Roman" w:eastAsia="宋体" w:cs="Times New Roman"/>
              </w:rPr>
            </w:pPr>
            <w:r>
              <w:rPr>
                <w:rFonts w:ascii="Times New Roman" w:hAnsi="Times New Roman" w:eastAsia="宋体" w:cs="Times New Roman"/>
              </w:rPr>
              <w:t>478.3</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530.3/643.4/771.4</w:t>
            </w:r>
          </w:p>
        </w:tc>
      </w:tr>
      <w:tr>
        <w:trPr>
          <w:jc w:val="center"/>
        </w:trPr>
        <w:tc>
          <w:tcPr>
            <w:tcW w:w="737" w:type="dxa"/>
            <w:vMerge w:val="continue"/>
            <w:vAlign w:val="center"/>
          </w:tcPr>
          <w:p>
            <w:pPr>
              <w:jc w:val="center"/>
              <w:rPr>
                <w:rFonts w:ascii="Times New Roman" w:hAnsi="Times New Roman" w:eastAsia="宋体" w:cs="Times New Roman"/>
                <w:lang w:val="fr-FR"/>
              </w:rPr>
            </w:pPr>
          </w:p>
        </w:tc>
        <w:tc>
          <w:tcPr>
            <w:tcW w:w="3005" w:type="dxa"/>
            <w:vAlign w:val="center"/>
          </w:tcPr>
          <w:p>
            <w:pPr>
              <w:jc w:val="center"/>
              <w:rPr>
                <w:rFonts w:ascii="Times New Roman" w:hAnsi="Times New Roman" w:eastAsia="宋体" w:cs="Times New Roman"/>
                <w:lang w:val="fr-FR"/>
              </w:rPr>
            </w:pPr>
            <w:r>
              <w:rPr>
                <w:rFonts w:ascii="Times New Roman" w:hAnsi="Times New Roman" w:eastAsia="宋体" w:cs="Times New Roman"/>
                <w:lang w:val="fr-FR"/>
              </w:rPr>
              <w:t>ESYFVDAQPK</w:t>
            </w:r>
          </w:p>
        </w:tc>
        <w:tc>
          <w:tcPr>
            <w:tcW w:w="2721" w:type="dxa"/>
            <w:vAlign w:val="center"/>
          </w:tcPr>
          <w:p>
            <w:pPr>
              <w:jc w:val="center"/>
              <w:rPr>
                <w:rFonts w:ascii="Times New Roman" w:hAnsi="Times New Roman" w:eastAsia="宋体" w:cs="Times New Roman"/>
              </w:rPr>
            </w:pPr>
            <w:r>
              <w:rPr>
                <w:rFonts w:ascii="Times New Roman" w:hAnsi="Times New Roman" w:eastAsia="宋体" w:cs="Times New Roman"/>
              </w:rPr>
              <w:t>Alpha subunit of beta conglycinin (Fragment)</w:t>
            </w:r>
          </w:p>
        </w:tc>
        <w:tc>
          <w:tcPr>
            <w:tcW w:w="850" w:type="dxa"/>
            <w:vAlign w:val="center"/>
          </w:tcPr>
          <w:p>
            <w:pPr>
              <w:jc w:val="center"/>
              <w:rPr>
                <w:rFonts w:ascii="Times New Roman" w:hAnsi="Times New Roman" w:eastAsia="宋体" w:cs="Times New Roman"/>
              </w:rPr>
            </w:pPr>
            <w:r>
              <w:rPr>
                <w:rFonts w:ascii="Times New Roman" w:hAnsi="Times New Roman" w:eastAsia="宋体" w:cs="Times New Roman"/>
              </w:rPr>
              <w:t>592.3</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244.2/558.3/657.4</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vAlign w:val="center"/>
          </w:tcPr>
          <w:p>
            <w:pPr>
              <w:jc w:val="center"/>
              <w:rPr>
                <w:rFonts w:ascii="Times New Roman" w:hAnsi="Times New Roman" w:eastAsia="宋体" w:cs="Times New Roman"/>
              </w:rPr>
            </w:pPr>
            <w:r>
              <w:rPr>
                <w:rFonts w:ascii="Times New Roman" w:hAnsi="Times New Roman" w:eastAsia="宋体" w:cs="Times New Roman"/>
              </w:rPr>
              <w:t>EQQQEQQQEEQPLEVR</w:t>
            </w:r>
          </w:p>
        </w:tc>
        <w:tc>
          <w:tcPr>
            <w:tcW w:w="2721" w:type="dxa"/>
            <w:vAlign w:val="center"/>
          </w:tcPr>
          <w:p>
            <w:pPr>
              <w:jc w:val="center"/>
              <w:rPr>
                <w:rFonts w:ascii="Times New Roman" w:hAnsi="Times New Roman" w:eastAsia="宋体" w:cs="Times New Roman"/>
              </w:rPr>
            </w:pPr>
            <w:r>
              <w:rPr>
                <w:rFonts w:ascii="Times New Roman" w:hAnsi="Times New Roman" w:eastAsia="宋体" w:cs="Times New Roman"/>
              </w:rPr>
              <w:t>Alpha subunit of beta conglycinin (Fragment)</w:t>
            </w:r>
          </w:p>
        </w:tc>
        <w:tc>
          <w:tcPr>
            <w:tcW w:w="850" w:type="dxa"/>
            <w:vAlign w:val="center"/>
          </w:tcPr>
          <w:p>
            <w:pPr>
              <w:jc w:val="center"/>
              <w:rPr>
                <w:rFonts w:ascii="Times New Roman" w:hAnsi="Times New Roman" w:eastAsia="宋体" w:cs="Times New Roman"/>
              </w:rPr>
            </w:pPr>
            <w:r>
              <w:rPr>
                <w:rFonts w:ascii="Times New Roman" w:hAnsi="Times New Roman" w:eastAsia="宋体" w:cs="Times New Roman"/>
              </w:rPr>
              <w:t>676.0</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368.2/369.1/613.4</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vAlign w:val="center"/>
          </w:tcPr>
          <w:p>
            <w:pPr>
              <w:jc w:val="center"/>
              <w:rPr>
                <w:rFonts w:ascii="Times New Roman" w:hAnsi="Times New Roman" w:eastAsia="宋体" w:cs="Times New Roman"/>
              </w:rPr>
            </w:pPr>
            <w:r>
              <w:rPr>
                <w:rFonts w:ascii="Times New Roman" w:hAnsi="Times New Roman" w:eastAsia="宋体" w:cs="Times New Roman"/>
              </w:rPr>
              <w:t>SQQLQNLR</w:t>
            </w:r>
          </w:p>
        </w:tc>
        <w:tc>
          <w:tcPr>
            <w:tcW w:w="2721" w:type="dxa"/>
            <w:vAlign w:val="center"/>
          </w:tcPr>
          <w:p>
            <w:pPr>
              <w:jc w:val="center"/>
              <w:rPr>
                <w:rFonts w:ascii="Times New Roman" w:hAnsi="Times New Roman" w:eastAsia="宋体" w:cs="Times New Roman"/>
                <w:lang w:val="fr-FR"/>
              </w:rPr>
            </w:pPr>
            <w:r>
              <w:rPr>
                <w:rFonts w:ascii="Times New Roman" w:hAnsi="Times New Roman" w:eastAsia="宋体" w:cs="Times New Roman"/>
                <w:lang w:val="fr-FR"/>
              </w:rPr>
              <w:t>Beta-conglycinin alpha' subunit (Fragment)</w:t>
            </w:r>
          </w:p>
        </w:tc>
        <w:tc>
          <w:tcPr>
            <w:tcW w:w="850" w:type="dxa"/>
            <w:vAlign w:val="center"/>
          </w:tcPr>
          <w:p>
            <w:pPr>
              <w:jc w:val="center"/>
              <w:rPr>
                <w:rFonts w:ascii="Times New Roman" w:hAnsi="Times New Roman" w:eastAsia="宋体" w:cs="Times New Roman"/>
              </w:rPr>
            </w:pPr>
            <w:r>
              <w:rPr>
                <w:rFonts w:ascii="Times New Roman" w:hAnsi="Times New Roman" w:eastAsia="宋体" w:cs="Times New Roman"/>
              </w:rPr>
              <w:t>493.8</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530.3/643.4/771.4</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vAlign w:val="center"/>
          </w:tcPr>
          <w:p>
            <w:pPr>
              <w:jc w:val="center"/>
              <w:rPr>
                <w:rFonts w:ascii="Times New Roman" w:hAnsi="Times New Roman" w:eastAsia="宋体" w:cs="Times New Roman"/>
              </w:rPr>
            </w:pPr>
            <w:r>
              <w:rPr>
                <w:rFonts w:ascii="Times New Roman" w:hAnsi="Times New Roman" w:eastAsia="宋体" w:cs="Times New Roman"/>
              </w:rPr>
              <w:t>NILEASYDTK</w:t>
            </w:r>
          </w:p>
        </w:tc>
        <w:tc>
          <w:tcPr>
            <w:tcW w:w="2721" w:type="dxa"/>
            <w:vAlign w:val="center"/>
          </w:tcPr>
          <w:p>
            <w:pPr>
              <w:jc w:val="center"/>
              <w:rPr>
                <w:rFonts w:ascii="Times New Roman" w:hAnsi="Times New Roman" w:eastAsia="宋体" w:cs="Times New Roman"/>
                <w:lang w:val="fr-FR"/>
              </w:rPr>
            </w:pPr>
            <w:r>
              <w:rPr>
                <w:rFonts w:ascii="Times New Roman" w:hAnsi="Times New Roman" w:eastAsia="宋体" w:cs="Times New Roman"/>
                <w:lang w:val="fr-FR"/>
              </w:rPr>
              <w:t>Beta-conglycinin alpha' subunit (Fragment)</w:t>
            </w:r>
          </w:p>
        </w:tc>
        <w:tc>
          <w:tcPr>
            <w:tcW w:w="850" w:type="dxa"/>
            <w:vAlign w:val="center"/>
          </w:tcPr>
          <w:p>
            <w:pPr>
              <w:jc w:val="center"/>
              <w:rPr>
                <w:rFonts w:ascii="Times New Roman" w:hAnsi="Times New Roman" w:eastAsia="宋体" w:cs="Times New Roman"/>
              </w:rPr>
            </w:pPr>
            <w:r>
              <w:rPr>
                <w:rFonts w:ascii="Times New Roman" w:hAnsi="Times New Roman" w:eastAsia="宋体" w:cs="Times New Roman"/>
              </w:rPr>
              <w:t>577.3</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684.3/813.4/926.4</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vAlign w:val="center"/>
          </w:tcPr>
          <w:p>
            <w:pPr>
              <w:jc w:val="center"/>
              <w:rPr>
                <w:rFonts w:ascii="Times New Roman" w:hAnsi="Times New Roman" w:eastAsia="宋体" w:cs="Times New Roman"/>
              </w:rPr>
            </w:pPr>
            <w:r>
              <w:rPr>
                <w:rFonts w:ascii="Times New Roman" w:hAnsi="Times New Roman" w:eastAsia="宋体" w:cs="Times New Roman"/>
              </w:rPr>
              <w:t>ALVQVVNCNGER</w:t>
            </w:r>
          </w:p>
        </w:tc>
        <w:tc>
          <w:tcPr>
            <w:tcW w:w="2721" w:type="dxa"/>
            <w:vAlign w:val="center"/>
          </w:tcPr>
          <w:p>
            <w:pPr>
              <w:jc w:val="center"/>
              <w:rPr>
                <w:rFonts w:ascii="Times New Roman" w:hAnsi="Times New Roman" w:eastAsia="宋体" w:cs="Times New Roman"/>
              </w:rPr>
            </w:pPr>
            <w:r>
              <w:rPr>
                <w:rFonts w:ascii="Times New Roman" w:hAnsi="Times New Roman" w:eastAsia="宋体" w:cs="Times New Roman"/>
              </w:rPr>
              <w:t>Glycinin G2</w:t>
            </w:r>
          </w:p>
        </w:tc>
        <w:tc>
          <w:tcPr>
            <w:tcW w:w="850" w:type="dxa"/>
            <w:vAlign w:val="center"/>
          </w:tcPr>
          <w:p>
            <w:pPr>
              <w:jc w:val="center"/>
              <w:rPr>
                <w:rFonts w:ascii="Times New Roman" w:hAnsi="Times New Roman" w:eastAsia="宋体" w:cs="Times New Roman"/>
              </w:rPr>
            </w:pPr>
            <w:r>
              <w:rPr>
                <w:rFonts w:ascii="Times New Roman" w:hAnsi="Times New Roman" w:eastAsia="宋体" w:cs="Times New Roman"/>
              </w:rPr>
              <w:t>679.8</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749.3/848.4/947.4</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vAlign w:val="center"/>
          </w:tcPr>
          <w:p>
            <w:pPr>
              <w:jc w:val="center"/>
              <w:rPr>
                <w:rFonts w:ascii="Times New Roman" w:hAnsi="Times New Roman" w:eastAsia="宋体" w:cs="Times New Roman"/>
              </w:rPr>
            </w:pPr>
            <w:r>
              <w:rPr>
                <w:rFonts w:ascii="Times New Roman" w:hAnsi="Times New Roman" w:eastAsia="宋体" w:cs="Times New Roman"/>
              </w:rPr>
              <w:t>SQSDNFEYVSFK</w:t>
            </w:r>
          </w:p>
        </w:tc>
        <w:tc>
          <w:tcPr>
            <w:tcW w:w="2721" w:type="dxa"/>
            <w:vAlign w:val="center"/>
          </w:tcPr>
          <w:p>
            <w:pPr>
              <w:jc w:val="center"/>
              <w:rPr>
                <w:rFonts w:ascii="Times New Roman" w:hAnsi="Times New Roman" w:eastAsia="宋体" w:cs="Times New Roman"/>
              </w:rPr>
            </w:pPr>
            <w:r>
              <w:rPr>
                <w:rFonts w:ascii="Times New Roman" w:hAnsi="Times New Roman" w:eastAsia="宋体" w:cs="Times New Roman"/>
              </w:rPr>
              <w:t>Glycinin G2</w:t>
            </w:r>
          </w:p>
        </w:tc>
        <w:tc>
          <w:tcPr>
            <w:tcW w:w="850" w:type="dxa"/>
            <w:vAlign w:val="center"/>
          </w:tcPr>
          <w:p>
            <w:pPr>
              <w:jc w:val="center"/>
              <w:rPr>
                <w:rFonts w:ascii="Times New Roman" w:hAnsi="Times New Roman" w:eastAsia="宋体" w:cs="Times New Roman"/>
              </w:rPr>
            </w:pPr>
            <w:r>
              <w:rPr>
                <w:rFonts w:ascii="Times New Roman" w:hAnsi="Times New Roman" w:eastAsia="宋体" w:cs="Times New Roman"/>
              </w:rPr>
              <w:t>725.8</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381.2/643.3/772.4</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vAlign w:val="center"/>
          </w:tcPr>
          <w:p>
            <w:pPr>
              <w:jc w:val="center"/>
              <w:rPr>
                <w:rFonts w:ascii="Times New Roman" w:hAnsi="Times New Roman" w:eastAsia="宋体" w:cs="Times New Roman"/>
              </w:rPr>
            </w:pPr>
            <w:r>
              <w:rPr>
                <w:rFonts w:ascii="Times New Roman" w:hAnsi="Times New Roman" w:eastAsia="宋体" w:cs="Times New Roman"/>
              </w:rPr>
              <w:t>AVLGLVSESETEK</w:t>
            </w:r>
          </w:p>
        </w:tc>
        <w:tc>
          <w:tcPr>
            <w:tcW w:w="2721" w:type="dxa"/>
            <w:vAlign w:val="center"/>
          </w:tcPr>
          <w:p>
            <w:pPr>
              <w:jc w:val="center"/>
              <w:rPr>
                <w:rFonts w:ascii="Times New Roman" w:hAnsi="Times New Roman" w:eastAsia="宋体" w:cs="Times New Roman"/>
              </w:rPr>
            </w:pPr>
            <w:r>
              <w:rPr>
                <w:rFonts w:ascii="Times New Roman" w:hAnsi="Times New Roman" w:eastAsia="宋体" w:cs="Times New Roman"/>
              </w:rPr>
              <w:t>Uncharacterized protein</w:t>
            </w:r>
          </w:p>
        </w:tc>
        <w:tc>
          <w:tcPr>
            <w:tcW w:w="850" w:type="dxa"/>
            <w:vAlign w:val="center"/>
          </w:tcPr>
          <w:p>
            <w:pPr>
              <w:jc w:val="center"/>
              <w:rPr>
                <w:rFonts w:ascii="Times New Roman" w:hAnsi="Times New Roman" w:eastAsia="宋体" w:cs="Times New Roman"/>
              </w:rPr>
            </w:pPr>
            <w:r>
              <w:rPr>
                <w:rFonts w:ascii="Times New Roman" w:hAnsi="Times New Roman" w:eastAsia="宋体" w:cs="Times New Roman"/>
              </w:rPr>
              <w:t>681.4</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809.4/908.4/1078.5</w:t>
            </w:r>
          </w:p>
        </w:tc>
      </w:tr>
      <w:tr>
        <w:trPr>
          <w:jc w:val="center"/>
        </w:trPr>
        <w:tc>
          <w:tcPr>
            <w:tcW w:w="737" w:type="dxa"/>
            <w:vMerge w:val="continue"/>
            <w:tcBorders>
              <w:bottom w:val="single" w:color="auto" w:sz="6" w:space="0"/>
            </w:tcBorders>
            <w:vAlign w:val="center"/>
          </w:tcPr>
          <w:p>
            <w:pPr>
              <w:jc w:val="center"/>
              <w:rPr>
                <w:rFonts w:ascii="Times New Roman" w:hAnsi="Times New Roman" w:eastAsia="宋体" w:cs="Times New Roman"/>
              </w:rPr>
            </w:pPr>
          </w:p>
        </w:tc>
        <w:tc>
          <w:tcPr>
            <w:tcW w:w="3005" w:type="dxa"/>
            <w:tcBorders>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LSAEFGSLR</w:t>
            </w:r>
          </w:p>
        </w:tc>
        <w:tc>
          <w:tcPr>
            <w:tcW w:w="2721" w:type="dxa"/>
            <w:tcBorders>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Uncharacterized protein</w:t>
            </w:r>
          </w:p>
        </w:tc>
        <w:tc>
          <w:tcPr>
            <w:tcW w:w="850" w:type="dxa"/>
            <w:tcBorders>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490.3</w:t>
            </w:r>
          </w:p>
        </w:tc>
        <w:tc>
          <w:tcPr>
            <w:tcW w:w="1856" w:type="dxa"/>
            <w:tcBorders>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579.3/779.4/866.4</w:t>
            </w:r>
          </w:p>
        </w:tc>
      </w:tr>
      <w:tr>
        <w:trPr>
          <w:jc w:val="center"/>
        </w:trPr>
        <w:tc>
          <w:tcPr>
            <w:tcW w:w="737" w:type="dxa"/>
            <w:vMerge w:val="restart"/>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豌豆</w:t>
            </w:r>
          </w:p>
        </w:tc>
        <w:tc>
          <w:tcPr>
            <w:tcW w:w="3005"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GGLSIISPPEK</w:t>
            </w:r>
          </w:p>
        </w:tc>
        <w:tc>
          <w:tcPr>
            <w:tcW w:w="2721"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Legumin A2</w:t>
            </w:r>
          </w:p>
        </w:tc>
        <w:tc>
          <w:tcPr>
            <w:tcW w:w="850"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549.3</w:t>
            </w:r>
          </w:p>
        </w:tc>
        <w:tc>
          <w:tcPr>
            <w:tcW w:w="1856" w:type="dxa"/>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470.3/557.3/670.4</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LVDLVIPVNGPGK</w:t>
            </w:r>
          </w:p>
        </w:tc>
        <w:tc>
          <w:tcPr>
            <w:tcW w:w="2721" w:type="dxa"/>
          </w:tcPr>
          <w:p>
            <w:pPr>
              <w:jc w:val="center"/>
              <w:rPr>
                <w:rFonts w:ascii="Times New Roman" w:hAnsi="Times New Roman" w:eastAsia="宋体" w:cs="Times New Roman"/>
              </w:rPr>
            </w:pPr>
            <w:r>
              <w:rPr>
                <w:rFonts w:ascii="Times New Roman" w:hAnsi="Times New Roman" w:eastAsia="宋体" w:cs="Times New Roman"/>
              </w:rPr>
              <w:t>Convicilin</w:t>
            </w:r>
          </w:p>
        </w:tc>
        <w:tc>
          <w:tcPr>
            <w:tcW w:w="850" w:type="dxa"/>
          </w:tcPr>
          <w:p>
            <w:pPr>
              <w:jc w:val="center"/>
              <w:rPr>
                <w:rFonts w:ascii="Times New Roman" w:hAnsi="Times New Roman" w:eastAsia="宋体" w:cs="Times New Roman"/>
              </w:rPr>
            </w:pPr>
            <w:r>
              <w:rPr>
                <w:rFonts w:ascii="Times New Roman" w:hAnsi="Times New Roman" w:eastAsia="宋体" w:cs="Times New Roman"/>
              </w:rPr>
              <w:t>660.9</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441.3/668.4/781.5</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ELAFPGSAQEVDR</w:t>
            </w:r>
          </w:p>
        </w:tc>
        <w:tc>
          <w:tcPr>
            <w:tcW w:w="2721" w:type="dxa"/>
          </w:tcPr>
          <w:p>
            <w:pPr>
              <w:jc w:val="center"/>
              <w:rPr>
                <w:rFonts w:ascii="Times New Roman" w:hAnsi="Times New Roman" w:eastAsia="宋体" w:cs="Times New Roman"/>
              </w:rPr>
            </w:pPr>
            <w:r>
              <w:rPr>
                <w:rFonts w:ascii="Times New Roman" w:hAnsi="Times New Roman" w:eastAsia="宋体" w:cs="Times New Roman"/>
              </w:rPr>
              <w:t>Vicilin</w:t>
            </w:r>
          </w:p>
        </w:tc>
        <w:tc>
          <w:tcPr>
            <w:tcW w:w="850" w:type="dxa"/>
          </w:tcPr>
          <w:p>
            <w:pPr>
              <w:jc w:val="center"/>
              <w:rPr>
                <w:rFonts w:ascii="Times New Roman" w:hAnsi="Times New Roman" w:eastAsia="宋体" w:cs="Times New Roman"/>
              </w:rPr>
            </w:pPr>
            <w:r>
              <w:rPr>
                <w:rFonts w:ascii="Times New Roman" w:hAnsi="Times New Roman" w:eastAsia="宋体" w:cs="Times New Roman"/>
              </w:rPr>
              <w:t>709.9</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314.2/479.7/553.3</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NQQLQDLDIFVNSVDIK</w:t>
            </w:r>
          </w:p>
        </w:tc>
        <w:tc>
          <w:tcPr>
            <w:tcW w:w="2721" w:type="dxa"/>
          </w:tcPr>
          <w:p>
            <w:pPr>
              <w:jc w:val="center"/>
              <w:rPr>
                <w:rFonts w:ascii="Times New Roman" w:hAnsi="Times New Roman" w:eastAsia="宋体" w:cs="Times New Roman"/>
              </w:rPr>
            </w:pPr>
            <w:r>
              <w:rPr>
                <w:rFonts w:ascii="Times New Roman" w:hAnsi="Times New Roman" w:eastAsia="宋体" w:cs="Times New Roman"/>
              </w:rPr>
              <w:t>Vicilin</w:t>
            </w:r>
          </w:p>
        </w:tc>
        <w:tc>
          <w:tcPr>
            <w:tcW w:w="850" w:type="dxa"/>
          </w:tcPr>
          <w:p>
            <w:pPr>
              <w:jc w:val="center"/>
              <w:rPr>
                <w:rFonts w:ascii="Times New Roman" w:hAnsi="Times New Roman" w:eastAsia="宋体" w:cs="Times New Roman"/>
              </w:rPr>
            </w:pPr>
            <w:r>
              <w:rPr>
                <w:rFonts w:ascii="Times New Roman" w:hAnsi="Times New Roman" w:eastAsia="宋体" w:cs="Times New Roman"/>
              </w:rPr>
              <w:t>995.0</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371.2/484.3/921.5</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AIVIVTVTEGK</w:t>
            </w:r>
          </w:p>
        </w:tc>
        <w:tc>
          <w:tcPr>
            <w:tcW w:w="2721" w:type="dxa"/>
          </w:tcPr>
          <w:p>
            <w:pPr>
              <w:jc w:val="center"/>
              <w:rPr>
                <w:rFonts w:ascii="Times New Roman" w:hAnsi="Times New Roman" w:eastAsia="宋体" w:cs="Times New Roman"/>
              </w:rPr>
            </w:pPr>
            <w:r>
              <w:rPr>
                <w:rFonts w:ascii="Times New Roman" w:hAnsi="Times New Roman" w:eastAsia="宋体" w:cs="Times New Roman"/>
              </w:rPr>
              <w:t>Vicilin</w:t>
            </w:r>
          </w:p>
        </w:tc>
        <w:tc>
          <w:tcPr>
            <w:tcW w:w="850" w:type="dxa"/>
          </w:tcPr>
          <w:p>
            <w:pPr>
              <w:jc w:val="center"/>
              <w:rPr>
                <w:rFonts w:ascii="Times New Roman" w:hAnsi="Times New Roman" w:eastAsia="宋体" w:cs="Times New Roman"/>
              </w:rPr>
            </w:pPr>
            <w:r>
              <w:rPr>
                <w:rFonts w:ascii="Times New Roman" w:hAnsi="Times New Roman" w:eastAsia="宋体" w:cs="Times New Roman"/>
              </w:rPr>
              <w:t>565.3</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185.1/284.2/846.5</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LSSGDVFVIPAGHPVAVK</w:t>
            </w:r>
          </w:p>
        </w:tc>
        <w:tc>
          <w:tcPr>
            <w:tcW w:w="2721" w:type="dxa"/>
          </w:tcPr>
          <w:p>
            <w:pPr>
              <w:jc w:val="center"/>
              <w:rPr>
                <w:rFonts w:ascii="Times New Roman" w:hAnsi="Times New Roman" w:eastAsia="宋体" w:cs="Times New Roman"/>
              </w:rPr>
            </w:pPr>
            <w:r>
              <w:rPr>
                <w:rFonts w:ascii="Times New Roman" w:hAnsi="Times New Roman" w:eastAsia="宋体" w:cs="Times New Roman"/>
              </w:rPr>
              <w:t>Vicilin</w:t>
            </w:r>
          </w:p>
        </w:tc>
        <w:tc>
          <w:tcPr>
            <w:tcW w:w="850" w:type="dxa"/>
          </w:tcPr>
          <w:p>
            <w:pPr>
              <w:jc w:val="center"/>
              <w:rPr>
                <w:rFonts w:ascii="Times New Roman" w:hAnsi="Times New Roman" w:eastAsia="宋体" w:cs="Times New Roman"/>
              </w:rPr>
            </w:pPr>
            <w:r>
              <w:rPr>
                <w:rFonts w:ascii="Times New Roman" w:hAnsi="Times New Roman" w:eastAsia="宋体" w:cs="Times New Roman"/>
              </w:rPr>
              <w:t>598.3</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438.3/513.3/875.5</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QSYFANAQPLQR</w:t>
            </w:r>
          </w:p>
        </w:tc>
        <w:tc>
          <w:tcPr>
            <w:tcW w:w="2721" w:type="dxa"/>
          </w:tcPr>
          <w:p>
            <w:pPr>
              <w:jc w:val="center"/>
              <w:rPr>
                <w:rFonts w:ascii="Times New Roman" w:hAnsi="Times New Roman" w:eastAsia="宋体" w:cs="Times New Roman"/>
              </w:rPr>
            </w:pPr>
            <w:r>
              <w:rPr>
                <w:rFonts w:ascii="Times New Roman" w:hAnsi="Times New Roman" w:eastAsia="宋体" w:cs="Times New Roman"/>
              </w:rPr>
              <w:t>Vicilin</w:t>
            </w:r>
          </w:p>
        </w:tc>
        <w:tc>
          <w:tcPr>
            <w:tcW w:w="850" w:type="dxa"/>
          </w:tcPr>
          <w:p>
            <w:pPr>
              <w:jc w:val="center"/>
              <w:rPr>
                <w:rFonts w:ascii="Times New Roman" w:hAnsi="Times New Roman" w:eastAsia="宋体" w:cs="Times New Roman"/>
              </w:rPr>
            </w:pPr>
            <w:r>
              <w:rPr>
                <w:rFonts w:ascii="Times New Roman" w:hAnsi="Times New Roman" w:eastAsia="宋体" w:cs="Times New Roman"/>
              </w:rPr>
              <w:t>711.9</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513.3/826.5/897.5</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NILEASFNTDYEEIEK</w:t>
            </w:r>
          </w:p>
        </w:tc>
        <w:tc>
          <w:tcPr>
            <w:tcW w:w="2721" w:type="dxa"/>
          </w:tcPr>
          <w:p>
            <w:pPr>
              <w:jc w:val="center"/>
              <w:rPr>
                <w:rFonts w:ascii="Times New Roman" w:hAnsi="Times New Roman" w:eastAsia="宋体" w:cs="Times New Roman"/>
              </w:rPr>
            </w:pPr>
            <w:r>
              <w:rPr>
                <w:rFonts w:ascii="Times New Roman" w:hAnsi="Times New Roman" w:eastAsia="宋体" w:cs="Times New Roman"/>
              </w:rPr>
              <w:t>Vicilin</w:t>
            </w:r>
          </w:p>
        </w:tc>
        <w:tc>
          <w:tcPr>
            <w:tcW w:w="850" w:type="dxa"/>
          </w:tcPr>
          <w:p>
            <w:pPr>
              <w:jc w:val="center"/>
              <w:rPr>
                <w:rFonts w:ascii="Times New Roman" w:hAnsi="Times New Roman" w:eastAsia="宋体" w:cs="Times New Roman"/>
              </w:rPr>
            </w:pPr>
            <w:r>
              <w:rPr>
                <w:rFonts w:ascii="Times New Roman" w:hAnsi="Times New Roman" w:eastAsia="宋体" w:cs="Times New Roman"/>
              </w:rPr>
              <w:t>958.0</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228.1/341.2/1140.5</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ELAFPGSSHEVDR</w:t>
            </w:r>
          </w:p>
        </w:tc>
        <w:tc>
          <w:tcPr>
            <w:tcW w:w="2721" w:type="dxa"/>
          </w:tcPr>
          <w:p>
            <w:pPr>
              <w:jc w:val="center"/>
              <w:rPr>
                <w:rFonts w:ascii="Times New Roman" w:hAnsi="Times New Roman" w:eastAsia="宋体" w:cs="Times New Roman"/>
              </w:rPr>
            </w:pPr>
            <w:r>
              <w:rPr>
                <w:rFonts w:ascii="Times New Roman" w:hAnsi="Times New Roman" w:eastAsia="宋体" w:cs="Times New Roman"/>
              </w:rPr>
              <w:t>Vicilin</w:t>
            </w:r>
          </w:p>
        </w:tc>
        <w:tc>
          <w:tcPr>
            <w:tcW w:w="850" w:type="dxa"/>
          </w:tcPr>
          <w:p>
            <w:pPr>
              <w:jc w:val="center"/>
              <w:rPr>
                <w:rFonts w:ascii="Times New Roman" w:hAnsi="Times New Roman" w:eastAsia="宋体" w:cs="Times New Roman"/>
              </w:rPr>
            </w:pPr>
            <w:r>
              <w:rPr>
                <w:rFonts w:ascii="Times New Roman" w:hAnsi="Times New Roman" w:eastAsia="宋体" w:cs="Times New Roman"/>
              </w:rPr>
              <w:t>481.9</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443.7/492.2/518.3</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NFLAGEEDNVISQVQRPVK</w:t>
            </w:r>
          </w:p>
        </w:tc>
        <w:tc>
          <w:tcPr>
            <w:tcW w:w="2721" w:type="dxa"/>
          </w:tcPr>
          <w:p>
            <w:pPr>
              <w:jc w:val="center"/>
              <w:rPr>
                <w:rFonts w:ascii="Times New Roman" w:hAnsi="Times New Roman" w:eastAsia="宋体" w:cs="Times New Roman"/>
              </w:rPr>
            </w:pPr>
            <w:r>
              <w:rPr>
                <w:rFonts w:ascii="Times New Roman" w:hAnsi="Times New Roman" w:eastAsia="宋体" w:cs="Times New Roman"/>
              </w:rPr>
              <w:t>Vicilin</w:t>
            </w:r>
          </w:p>
        </w:tc>
        <w:tc>
          <w:tcPr>
            <w:tcW w:w="850" w:type="dxa"/>
          </w:tcPr>
          <w:p>
            <w:pPr>
              <w:jc w:val="center"/>
              <w:rPr>
                <w:rFonts w:ascii="Times New Roman" w:hAnsi="Times New Roman" w:eastAsia="宋体" w:cs="Times New Roman"/>
              </w:rPr>
            </w:pPr>
            <w:r>
              <w:rPr>
                <w:rFonts w:ascii="Times New Roman" w:hAnsi="Times New Roman" w:eastAsia="宋体" w:cs="Times New Roman"/>
              </w:rPr>
              <w:t>715.0</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849.4/885.0/941.5</w:t>
            </w:r>
          </w:p>
        </w:tc>
      </w:tr>
      <w:tr>
        <w:trPr>
          <w:jc w:val="center"/>
        </w:trPr>
        <w:tc>
          <w:tcPr>
            <w:tcW w:w="737" w:type="dxa"/>
            <w:vMerge w:val="continue"/>
            <w:tcBorders>
              <w:bottom w:val="single" w:color="auto" w:sz="6" w:space="0"/>
            </w:tcBorders>
            <w:vAlign w:val="center"/>
          </w:tcPr>
          <w:p>
            <w:pPr>
              <w:jc w:val="center"/>
              <w:rPr>
                <w:rFonts w:ascii="Times New Roman" w:hAnsi="Times New Roman" w:eastAsia="宋体" w:cs="Times New Roman"/>
              </w:rPr>
            </w:pPr>
          </w:p>
        </w:tc>
        <w:tc>
          <w:tcPr>
            <w:tcW w:w="3005"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VLYGPTPVR</w:t>
            </w:r>
          </w:p>
        </w:tc>
        <w:tc>
          <w:tcPr>
            <w:tcW w:w="2721"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Seed albumin 2</w:t>
            </w:r>
          </w:p>
        </w:tc>
        <w:tc>
          <w:tcPr>
            <w:tcW w:w="850"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501.3</w:t>
            </w:r>
          </w:p>
        </w:tc>
        <w:tc>
          <w:tcPr>
            <w:tcW w:w="1856" w:type="dxa"/>
            <w:tcBorders>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569.3/626.4/789.4</w:t>
            </w:r>
          </w:p>
        </w:tc>
      </w:tr>
      <w:tr>
        <w:trPr>
          <w:jc w:val="center"/>
        </w:trPr>
        <w:tc>
          <w:tcPr>
            <w:tcW w:w="737" w:type="dxa"/>
            <w:vMerge w:val="restart"/>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花生</w:t>
            </w:r>
          </w:p>
        </w:tc>
        <w:tc>
          <w:tcPr>
            <w:tcW w:w="3005"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AHVQVVDSNGNR</w:t>
            </w:r>
          </w:p>
        </w:tc>
        <w:tc>
          <w:tcPr>
            <w:tcW w:w="2721"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Arachin Ahy-3</w:t>
            </w:r>
          </w:p>
        </w:tc>
        <w:tc>
          <w:tcPr>
            <w:tcW w:w="850"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432.6</w:t>
            </w:r>
          </w:p>
        </w:tc>
        <w:tc>
          <w:tcPr>
            <w:tcW w:w="1856" w:type="dxa"/>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436.2/535.3/662.3</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TANDLNLLILR</w:t>
            </w:r>
          </w:p>
        </w:tc>
        <w:tc>
          <w:tcPr>
            <w:tcW w:w="2721" w:type="dxa"/>
          </w:tcPr>
          <w:p>
            <w:pPr>
              <w:jc w:val="center"/>
              <w:rPr>
                <w:rFonts w:ascii="Times New Roman" w:hAnsi="Times New Roman" w:eastAsia="宋体" w:cs="Times New Roman"/>
              </w:rPr>
            </w:pPr>
            <w:r>
              <w:rPr>
                <w:rFonts w:ascii="Times New Roman" w:hAnsi="Times New Roman" w:eastAsia="宋体" w:cs="Times New Roman"/>
              </w:rPr>
              <w:t>Arachin Ahy-3</w:t>
            </w:r>
          </w:p>
        </w:tc>
        <w:tc>
          <w:tcPr>
            <w:tcW w:w="850" w:type="dxa"/>
          </w:tcPr>
          <w:p>
            <w:pPr>
              <w:jc w:val="center"/>
              <w:rPr>
                <w:rFonts w:ascii="Times New Roman" w:hAnsi="Times New Roman" w:eastAsia="宋体" w:cs="Times New Roman"/>
              </w:rPr>
            </w:pPr>
            <w:r>
              <w:rPr>
                <w:rFonts w:ascii="Times New Roman" w:hAnsi="Times New Roman" w:eastAsia="宋体" w:cs="Times New Roman"/>
              </w:rPr>
              <w:t>628.4</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514.4/741.5/1083.7</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CDLDVSGGR</w:t>
            </w:r>
          </w:p>
        </w:tc>
        <w:tc>
          <w:tcPr>
            <w:tcW w:w="2721" w:type="dxa"/>
          </w:tcPr>
          <w:p>
            <w:pPr>
              <w:jc w:val="center"/>
              <w:rPr>
                <w:rFonts w:ascii="Times New Roman" w:hAnsi="Times New Roman" w:eastAsia="宋体" w:cs="Times New Roman"/>
              </w:rPr>
            </w:pPr>
            <w:r>
              <w:rPr>
                <w:rFonts w:ascii="Times New Roman" w:hAnsi="Times New Roman" w:eastAsia="宋体" w:cs="Times New Roman"/>
              </w:rPr>
              <w:t>Ara h 3 allergen</w:t>
            </w:r>
          </w:p>
        </w:tc>
        <w:tc>
          <w:tcPr>
            <w:tcW w:w="850" w:type="dxa"/>
          </w:tcPr>
          <w:p>
            <w:pPr>
              <w:jc w:val="center"/>
              <w:rPr>
                <w:rFonts w:ascii="Times New Roman" w:hAnsi="Times New Roman" w:eastAsia="宋体" w:cs="Times New Roman"/>
              </w:rPr>
            </w:pPr>
            <w:r>
              <w:rPr>
                <w:rFonts w:ascii="Times New Roman" w:hAnsi="Times New Roman" w:eastAsia="宋体" w:cs="Times New Roman"/>
              </w:rPr>
              <w:t>489.7</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475.3/590.3/703.4</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NLPQQCGLR</w:t>
            </w:r>
          </w:p>
        </w:tc>
        <w:tc>
          <w:tcPr>
            <w:tcW w:w="2721" w:type="dxa"/>
          </w:tcPr>
          <w:p>
            <w:pPr>
              <w:jc w:val="center"/>
              <w:rPr>
                <w:rFonts w:ascii="Times New Roman" w:hAnsi="Times New Roman" w:eastAsia="宋体" w:cs="Times New Roman"/>
              </w:rPr>
            </w:pPr>
            <w:r>
              <w:rPr>
                <w:rFonts w:ascii="Times New Roman" w:hAnsi="Times New Roman" w:eastAsia="宋体" w:cs="Times New Roman"/>
              </w:rPr>
              <w:t>Ara h 2 allergen</w:t>
            </w:r>
          </w:p>
        </w:tc>
        <w:tc>
          <w:tcPr>
            <w:tcW w:w="850" w:type="dxa"/>
          </w:tcPr>
          <w:p>
            <w:pPr>
              <w:jc w:val="center"/>
              <w:rPr>
                <w:rFonts w:ascii="Times New Roman" w:hAnsi="Times New Roman" w:eastAsia="宋体" w:cs="Times New Roman"/>
              </w:rPr>
            </w:pPr>
            <w:r>
              <w:rPr>
                <w:rFonts w:ascii="Times New Roman" w:hAnsi="Times New Roman" w:eastAsia="宋体" w:cs="Times New Roman"/>
              </w:rPr>
              <w:t>543.3</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429.7/633.3/858.4</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TANELNLLILR</w:t>
            </w:r>
          </w:p>
        </w:tc>
        <w:tc>
          <w:tcPr>
            <w:tcW w:w="2721" w:type="dxa"/>
          </w:tcPr>
          <w:p>
            <w:pPr>
              <w:jc w:val="center"/>
              <w:rPr>
                <w:rFonts w:ascii="Times New Roman" w:hAnsi="Times New Roman" w:eastAsia="宋体" w:cs="Times New Roman"/>
              </w:rPr>
            </w:pPr>
            <w:r>
              <w:rPr>
                <w:rFonts w:ascii="Times New Roman" w:hAnsi="Times New Roman" w:eastAsia="宋体" w:cs="Times New Roman"/>
              </w:rPr>
              <w:t>Arachin 6</w:t>
            </w:r>
          </w:p>
        </w:tc>
        <w:tc>
          <w:tcPr>
            <w:tcW w:w="850" w:type="dxa"/>
          </w:tcPr>
          <w:p>
            <w:pPr>
              <w:jc w:val="center"/>
              <w:rPr>
                <w:rFonts w:ascii="Times New Roman" w:hAnsi="Times New Roman" w:eastAsia="宋体" w:cs="Times New Roman"/>
              </w:rPr>
            </w:pPr>
            <w:r>
              <w:rPr>
                <w:rFonts w:ascii="Times New Roman" w:hAnsi="Times New Roman" w:eastAsia="宋体" w:cs="Times New Roman"/>
              </w:rPr>
              <w:t>635.4</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741.5/854.6/1097.7</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SVNELDLPILGWLGLSAQHGTIYR</w:t>
            </w:r>
          </w:p>
        </w:tc>
        <w:tc>
          <w:tcPr>
            <w:tcW w:w="2721" w:type="dxa"/>
          </w:tcPr>
          <w:p>
            <w:pPr>
              <w:jc w:val="center"/>
              <w:rPr>
                <w:rFonts w:ascii="Times New Roman" w:hAnsi="Times New Roman" w:eastAsia="宋体" w:cs="Times New Roman"/>
              </w:rPr>
            </w:pPr>
            <w:r>
              <w:rPr>
                <w:rFonts w:ascii="Times New Roman" w:hAnsi="Times New Roman" w:eastAsia="宋体" w:cs="Times New Roman"/>
              </w:rPr>
              <w:t>Ara h 3 allergen</w:t>
            </w:r>
          </w:p>
        </w:tc>
        <w:tc>
          <w:tcPr>
            <w:tcW w:w="850" w:type="dxa"/>
          </w:tcPr>
          <w:p>
            <w:pPr>
              <w:jc w:val="center"/>
              <w:rPr>
                <w:rFonts w:ascii="Times New Roman" w:hAnsi="Times New Roman" w:eastAsia="宋体" w:cs="Times New Roman"/>
              </w:rPr>
            </w:pPr>
            <w:r>
              <w:rPr>
                <w:rFonts w:ascii="Times New Roman" w:hAnsi="Times New Roman" w:eastAsia="宋体" w:cs="Times New Roman"/>
              </w:rPr>
              <w:t>884.8</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430.2/779.9/941.5</w:t>
            </w:r>
          </w:p>
        </w:tc>
      </w:tr>
      <w:tr>
        <w:trPr>
          <w:jc w:val="center"/>
        </w:trPr>
        <w:tc>
          <w:tcPr>
            <w:tcW w:w="737" w:type="dxa"/>
            <w:vMerge w:val="continue"/>
            <w:tcBorders>
              <w:bottom w:val="single" w:color="auto" w:sz="6" w:space="0"/>
            </w:tcBorders>
            <w:vAlign w:val="center"/>
          </w:tcPr>
          <w:p>
            <w:pPr>
              <w:jc w:val="center"/>
              <w:rPr>
                <w:rFonts w:ascii="Times New Roman" w:hAnsi="Times New Roman" w:eastAsia="宋体" w:cs="Times New Roman"/>
              </w:rPr>
            </w:pPr>
          </w:p>
        </w:tc>
        <w:tc>
          <w:tcPr>
            <w:tcW w:w="3005"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AMVIVVVNK</w:t>
            </w:r>
          </w:p>
        </w:tc>
        <w:tc>
          <w:tcPr>
            <w:tcW w:w="2721"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Conarachin (Fragment)</w:t>
            </w:r>
          </w:p>
        </w:tc>
        <w:tc>
          <w:tcPr>
            <w:tcW w:w="850"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486.8</w:t>
            </w:r>
          </w:p>
        </w:tc>
        <w:tc>
          <w:tcPr>
            <w:tcW w:w="1856" w:type="dxa"/>
            <w:tcBorders>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203.1/558.4/671.4</w:t>
            </w:r>
          </w:p>
        </w:tc>
      </w:tr>
      <w:tr>
        <w:trPr>
          <w:jc w:val="center"/>
        </w:trPr>
        <w:tc>
          <w:tcPr>
            <w:tcW w:w="737" w:type="dxa"/>
            <w:vMerge w:val="restart"/>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小麦</w:t>
            </w:r>
          </w:p>
        </w:tc>
        <w:tc>
          <w:tcPr>
            <w:tcW w:w="3005"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APFASIVAGIGGQ</w:t>
            </w:r>
          </w:p>
        </w:tc>
        <w:tc>
          <w:tcPr>
            <w:tcW w:w="2721"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 xml:space="preserve">Gamma-gliadin (Fragment) </w:t>
            </w:r>
          </w:p>
        </w:tc>
        <w:tc>
          <w:tcPr>
            <w:tcW w:w="850"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594.3</w:t>
            </w:r>
          </w:p>
        </w:tc>
        <w:tc>
          <w:tcPr>
            <w:tcW w:w="1856" w:type="dxa"/>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204.1/261.1/316.2</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YFIALPVPSQPVDPR</w:t>
            </w:r>
          </w:p>
        </w:tc>
        <w:tc>
          <w:tcPr>
            <w:tcW w:w="2721" w:type="dxa"/>
          </w:tcPr>
          <w:p>
            <w:pPr>
              <w:jc w:val="center"/>
              <w:rPr>
                <w:rFonts w:ascii="Times New Roman" w:hAnsi="Times New Roman" w:eastAsia="宋体" w:cs="Times New Roman"/>
              </w:rPr>
            </w:pPr>
            <w:r>
              <w:rPr>
                <w:rFonts w:ascii="Times New Roman" w:hAnsi="Times New Roman" w:eastAsia="宋体" w:cs="Times New Roman"/>
              </w:rPr>
              <w:t>Alpha amylase/trypsin inhibitor (Fragment)</w:t>
            </w:r>
          </w:p>
        </w:tc>
        <w:tc>
          <w:tcPr>
            <w:tcW w:w="850" w:type="dxa"/>
          </w:tcPr>
          <w:p>
            <w:pPr>
              <w:jc w:val="center"/>
              <w:rPr>
                <w:rFonts w:ascii="Times New Roman" w:hAnsi="Times New Roman" w:eastAsia="宋体" w:cs="Times New Roman"/>
              </w:rPr>
            </w:pPr>
            <w:r>
              <w:rPr>
                <w:rFonts w:ascii="Times New Roman" w:hAnsi="Times New Roman" w:eastAsia="宋体" w:cs="Times New Roman"/>
              </w:rPr>
              <w:t>850.0</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272.2/495.3/1091.6</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QMQWDFVR</w:t>
            </w:r>
          </w:p>
        </w:tc>
        <w:tc>
          <w:tcPr>
            <w:tcW w:w="2721" w:type="dxa"/>
          </w:tcPr>
          <w:p>
            <w:pPr>
              <w:jc w:val="center"/>
              <w:rPr>
                <w:rFonts w:ascii="Times New Roman" w:hAnsi="Times New Roman" w:eastAsia="宋体" w:cs="Times New Roman"/>
              </w:rPr>
            </w:pPr>
            <w:r>
              <w:rPr>
                <w:rFonts w:ascii="Times New Roman" w:hAnsi="Times New Roman" w:eastAsia="宋体" w:cs="Times New Roman"/>
              </w:rPr>
              <w:t>Alpha amylase/trypsin inhibitor (Fragment)</w:t>
            </w:r>
          </w:p>
        </w:tc>
        <w:tc>
          <w:tcPr>
            <w:tcW w:w="850" w:type="dxa"/>
          </w:tcPr>
          <w:p>
            <w:pPr>
              <w:jc w:val="center"/>
              <w:rPr>
                <w:rFonts w:ascii="Times New Roman" w:hAnsi="Times New Roman" w:eastAsia="宋体" w:cs="Times New Roman"/>
              </w:rPr>
            </w:pPr>
            <w:r>
              <w:rPr>
                <w:rFonts w:ascii="Times New Roman" w:hAnsi="Times New Roman" w:eastAsia="宋体" w:cs="Times New Roman"/>
              </w:rPr>
              <w:t>555.3</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421.3/536.3/722.4</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DYVLQQTCGTFTPGSK</w:t>
            </w:r>
          </w:p>
        </w:tc>
        <w:tc>
          <w:tcPr>
            <w:tcW w:w="2721" w:type="dxa"/>
          </w:tcPr>
          <w:p>
            <w:pPr>
              <w:jc w:val="center"/>
              <w:rPr>
                <w:rFonts w:ascii="Times New Roman" w:hAnsi="Times New Roman" w:eastAsia="宋体" w:cs="Times New Roman"/>
              </w:rPr>
            </w:pPr>
            <w:r>
              <w:rPr>
                <w:rFonts w:ascii="Times New Roman" w:hAnsi="Times New Roman" w:eastAsia="宋体" w:cs="Times New Roman"/>
              </w:rPr>
              <w:t>Alpha amylase/trypsin inhibitor (Fragment)</w:t>
            </w:r>
          </w:p>
        </w:tc>
        <w:tc>
          <w:tcPr>
            <w:tcW w:w="850" w:type="dxa"/>
          </w:tcPr>
          <w:p>
            <w:pPr>
              <w:jc w:val="center"/>
              <w:rPr>
                <w:rFonts w:ascii="Times New Roman" w:hAnsi="Times New Roman" w:eastAsia="宋体" w:cs="Times New Roman"/>
              </w:rPr>
            </w:pPr>
            <w:r>
              <w:rPr>
                <w:rFonts w:ascii="Times New Roman" w:hAnsi="Times New Roman" w:eastAsia="宋体" w:cs="Times New Roman"/>
              </w:rPr>
              <w:t>901.4</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279.1/378.2/388.2</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SQMLQQSSCHVMQQQCCQQLPQIPQQSR</w:t>
            </w:r>
          </w:p>
        </w:tc>
        <w:tc>
          <w:tcPr>
            <w:tcW w:w="2721" w:type="dxa"/>
          </w:tcPr>
          <w:p>
            <w:pPr>
              <w:jc w:val="center"/>
              <w:rPr>
                <w:rFonts w:ascii="Times New Roman" w:hAnsi="Times New Roman" w:eastAsia="宋体" w:cs="Times New Roman"/>
              </w:rPr>
            </w:pPr>
            <w:r>
              <w:rPr>
                <w:rFonts w:ascii="Times New Roman" w:hAnsi="Times New Roman" w:eastAsia="宋体" w:cs="Times New Roman"/>
              </w:rPr>
              <w:t>Low molecular weight glutenin subunit B3-2</w:t>
            </w:r>
          </w:p>
        </w:tc>
        <w:tc>
          <w:tcPr>
            <w:tcW w:w="850" w:type="dxa"/>
          </w:tcPr>
          <w:p>
            <w:pPr>
              <w:jc w:val="center"/>
              <w:rPr>
                <w:rFonts w:ascii="Times New Roman" w:hAnsi="Times New Roman" w:eastAsia="宋体" w:cs="Times New Roman"/>
              </w:rPr>
            </w:pPr>
            <w:r>
              <w:rPr>
                <w:rFonts w:ascii="Times New Roman" w:hAnsi="Times New Roman" w:eastAsia="宋体" w:cs="Times New Roman"/>
              </w:rPr>
              <w:t>861.6</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615.3/953.5</w:t>
            </w:r>
          </w:p>
        </w:tc>
      </w:tr>
      <w:tr>
        <w:trPr>
          <w:jc w:val="center"/>
        </w:trPr>
        <w:tc>
          <w:tcPr>
            <w:tcW w:w="737" w:type="dxa"/>
            <w:vMerge w:val="continue"/>
            <w:tcBorders>
              <w:bottom w:val="single" w:color="auto" w:sz="6" w:space="0"/>
            </w:tcBorders>
            <w:vAlign w:val="center"/>
          </w:tcPr>
          <w:p>
            <w:pPr>
              <w:jc w:val="center"/>
              <w:rPr>
                <w:rFonts w:ascii="Times New Roman" w:hAnsi="Times New Roman" w:eastAsia="宋体" w:cs="Times New Roman"/>
              </w:rPr>
            </w:pPr>
          </w:p>
        </w:tc>
        <w:tc>
          <w:tcPr>
            <w:tcW w:w="3005"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VFLQQQCSPVAMPQSLAR</w:t>
            </w:r>
          </w:p>
        </w:tc>
        <w:tc>
          <w:tcPr>
            <w:tcW w:w="2721"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Lmw-gs (Fragment)</w:t>
            </w:r>
          </w:p>
        </w:tc>
        <w:tc>
          <w:tcPr>
            <w:tcW w:w="850"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687.4</w:t>
            </w:r>
          </w:p>
        </w:tc>
        <w:tc>
          <w:tcPr>
            <w:tcW w:w="1856" w:type="dxa"/>
            <w:tcBorders>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336.2/671.4/873.5</w:t>
            </w:r>
          </w:p>
        </w:tc>
      </w:tr>
      <w:tr>
        <w:trPr>
          <w:jc w:val="center"/>
        </w:trPr>
        <w:tc>
          <w:tcPr>
            <w:tcW w:w="737" w:type="dxa"/>
            <w:vMerge w:val="restart"/>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蛋清</w:t>
            </w:r>
          </w:p>
        </w:tc>
        <w:tc>
          <w:tcPr>
            <w:tcW w:w="3005"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IAFNTEDTR</w:t>
            </w:r>
          </w:p>
        </w:tc>
        <w:tc>
          <w:tcPr>
            <w:tcW w:w="2721"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Ovalbumin-related protein Y</w:t>
            </w:r>
          </w:p>
        </w:tc>
        <w:tc>
          <w:tcPr>
            <w:tcW w:w="850"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533.8</w:t>
            </w:r>
          </w:p>
        </w:tc>
        <w:tc>
          <w:tcPr>
            <w:tcW w:w="1856" w:type="dxa"/>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276.2/735.3/882.4</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ISQAVHAAHAEINEAGR</w:t>
            </w:r>
          </w:p>
        </w:tc>
        <w:tc>
          <w:tcPr>
            <w:tcW w:w="2721" w:type="dxa"/>
          </w:tcPr>
          <w:p>
            <w:pPr>
              <w:jc w:val="center"/>
              <w:rPr>
                <w:rFonts w:ascii="Times New Roman" w:hAnsi="Times New Roman" w:eastAsia="宋体" w:cs="Times New Roman"/>
              </w:rPr>
            </w:pPr>
            <w:r>
              <w:rPr>
                <w:rFonts w:ascii="Times New Roman" w:hAnsi="Times New Roman" w:eastAsia="宋体" w:cs="Times New Roman"/>
              </w:rPr>
              <w:t xml:space="preserve">OVA (Fragment) </w:t>
            </w:r>
          </w:p>
        </w:tc>
        <w:tc>
          <w:tcPr>
            <w:tcW w:w="850" w:type="dxa"/>
          </w:tcPr>
          <w:p>
            <w:pPr>
              <w:jc w:val="center"/>
              <w:rPr>
                <w:rFonts w:ascii="Times New Roman" w:hAnsi="Times New Roman" w:eastAsia="宋体" w:cs="Times New Roman"/>
              </w:rPr>
            </w:pPr>
            <w:r>
              <w:rPr>
                <w:rFonts w:ascii="Times New Roman" w:hAnsi="Times New Roman" w:eastAsia="宋体" w:cs="Times New Roman"/>
              </w:rPr>
              <w:t>444.2</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303.2/546.3/659.3</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EVVGSAEAGVDAASVSEEFR</w:t>
            </w:r>
          </w:p>
        </w:tc>
        <w:tc>
          <w:tcPr>
            <w:tcW w:w="2721" w:type="dxa"/>
          </w:tcPr>
          <w:p>
            <w:pPr>
              <w:jc w:val="center"/>
              <w:rPr>
                <w:rFonts w:ascii="Times New Roman" w:hAnsi="Times New Roman" w:eastAsia="宋体" w:cs="Times New Roman"/>
              </w:rPr>
            </w:pPr>
            <w:r>
              <w:rPr>
                <w:rFonts w:ascii="Times New Roman" w:hAnsi="Times New Roman" w:eastAsia="宋体" w:cs="Times New Roman"/>
              </w:rPr>
              <w:t xml:space="preserve">OVA (Fragment) </w:t>
            </w:r>
          </w:p>
        </w:tc>
        <w:tc>
          <w:tcPr>
            <w:tcW w:w="850" w:type="dxa"/>
          </w:tcPr>
          <w:p>
            <w:pPr>
              <w:jc w:val="center"/>
              <w:rPr>
                <w:rFonts w:ascii="Times New Roman" w:hAnsi="Times New Roman" w:eastAsia="宋体" w:cs="Times New Roman"/>
              </w:rPr>
            </w:pPr>
            <w:r>
              <w:rPr>
                <w:rFonts w:ascii="Times New Roman" w:hAnsi="Times New Roman" w:eastAsia="宋体" w:cs="Times New Roman"/>
              </w:rPr>
              <w:t>670.3</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667.3/766.4/853.4</w:t>
            </w:r>
          </w:p>
        </w:tc>
      </w:tr>
      <w:tr>
        <w:trPr>
          <w:jc w:val="center"/>
        </w:trPr>
        <w:tc>
          <w:tcPr>
            <w:tcW w:w="737" w:type="dxa"/>
            <w:vMerge w:val="continue"/>
            <w:tcBorders>
              <w:bottom w:val="single" w:color="auto" w:sz="6" w:space="0"/>
            </w:tcBorders>
            <w:vAlign w:val="center"/>
          </w:tcPr>
          <w:p>
            <w:pPr>
              <w:jc w:val="center"/>
              <w:rPr>
                <w:rFonts w:ascii="Times New Roman" w:hAnsi="Times New Roman" w:eastAsia="宋体" w:cs="Times New Roman"/>
              </w:rPr>
            </w:pPr>
          </w:p>
        </w:tc>
        <w:tc>
          <w:tcPr>
            <w:tcW w:w="3005"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DYVLVPCK</w:t>
            </w:r>
          </w:p>
        </w:tc>
        <w:tc>
          <w:tcPr>
            <w:tcW w:w="2721"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OvoglobulinG2 type BB</w:t>
            </w:r>
          </w:p>
        </w:tc>
        <w:tc>
          <w:tcPr>
            <w:tcW w:w="850" w:type="dxa"/>
            <w:tcBorders>
              <w:bottom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497.3</w:t>
            </w:r>
          </w:p>
        </w:tc>
        <w:tc>
          <w:tcPr>
            <w:tcW w:w="1856" w:type="dxa"/>
            <w:tcBorders>
              <w:bottom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279.1/404.2/616.3</w:t>
            </w:r>
          </w:p>
        </w:tc>
      </w:tr>
      <w:tr>
        <w:trPr>
          <w:jc w:val="center"/>
        </w:trPr>
        <w:tc>
          <w:tcPr>
            <w:tcW w:w="737" w:type="dxa"/>
            <w:vMerge w:val="restart"/>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蛋黄</w:t>
            </w:r>
          </w:p>
        </w:tc>
        <w:tc>
          <w:tcPr>
            <w:tcW w:w="3005"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EGTDLVDTLK</w:t>
            </w:r>
          </w:p>
        </w:tc>
        <w:tc>
          <w:tcPr>
            <w:tcW w:w="2721"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Apolipoprotein B</w:t>
            </w:r>
          </w:p>
        </w:tc>
        <w:tc>
          <w:tcPr>
            <w:tcW w:w="850" w:type="dxa"/>
            <w:tcBorders>
              <w:top w:val="single" w:color="auto" w:sz="6" w:space="0"/>
            </w:tcBorders>
          </w:tcPr>
          <w:p>
            <w:pPr>
              <w:jc w:val="center"/>
              <w:rPr>
                <w:rFonts w:ascii="Times New Roman" w:hAnsi="Times New Roman" w:eastAsia="宋体" w:cs="Times New Roman"/>
              </w:rPr>
            </w:pPr>
            <w:r>
              <w:rPr>
                <w:rFonts w:ascii="Times New Roman" w:hAnsi="Times New Roman" w:eastAsia="宋体" w:cs="Times New Roman"/>
              </w:rPr>
              <w:t>545.8</w:t>
            </w:r>
          </w:p>
        </w:tc>
        <w:tc>
          <w:tcPr>
            <w:tcW w:w="1856" w:type="dxa"/>
            <w:tcBorders>
              <w:top w:val="single" w:color="auto" w:sz="6" w:space="0"/>
            </w:tcBorders>
            <w:vAlign w:val="center"/>
          </w:tcPr>
          <w:p>
            <w:pPr>
              <w:jc w:val="center"/>
              <w:rPr>
                <w:rFonts w:ascii="Times New Roman" w:hAnsi="Times New Roman" w:eastAsia="宋体" w:cs="Times New Roman"/>
              </w:rPr>
            </w:pPr>
            <w:r>
              <w:rPr>
                <w:rFonts w:ascii="Times New Roman" w:hAnsi="Times New Roman" w:eastAsia="宋体" w:cs="Times New Roman"/>
              </w:rPr>
              <w:t>385.1/476.3/575.3</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IPEIIAQAISK</w:t>
            </w:r>
          </w:p>
        </w:tc>
        <w:tc>
          <w:tcPr>
            <w:tcW w:w="2721" w:type="dxa"/>
          </w:tcPr>
          <w:p>
            <w:pPr>
              <w:jc w:val="center"/>
              <w:rPr>
                <w:rFonts w:ascii="Times New Roman" w:hAnsi="Times New Roman" w:eastAsia="宋体" w:cs="Times New Roman"/>
              </w:rPr>
            </w:pPr>
            <w:r>
              <w:rPr>
                <w:rFonts w:ascii="Times New Roman" w:hAnsi="Times New Roman" w:eastAsia="宋体" w:cs="Times New Roman"/>
              </w:rPr>
              <w:t>Apolipoprotein B</w:t>
            </w:r>
          </w:p>
        </w:tc>
        <w:tc>
          <w:tcPr>
            <w:tcW w:w="850" w:type="dxa"/>
          </w:tcPr>
          <w:p>
            <w:pPr>
              <w:jc w:val="center"/>
              <w:rPr>
                <w:rFonts w:ascii="Times New Roman" w:hAnsi="Times New Roman" w:eastAsia="宋体" w:cs="Times New Roman"/>
              </w:rPr>
            </w:pPr>
            <w:r>
              <w:rPr>
                <w:rFonts w:ascii="Times New Roman" w:hAnsi="Times New Roman" w:eastAsia="宋体" w:cs="Times New Roman"/>
              </w:rPr>
              <w:t>591.9</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617.4/730.4/843.5</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YAGIEEAMLR</w:t>
            </w:r>
          </w:p>
        </w:tc>
        <w:tc>
          <w:tcPr>
            <w:tcW w:w="2721" w:type="dxa"/>
          </w:tcPr>
          <w:p>
            <w:pPr>
              <w:jc w:val="center"/>
              <w:rPr>
                <w:rFonts w:ascii="Times New Roman" w:hAnsi="Times New Roman" w:eastAsia="宋体" w:cs="Times New Roman"/>
              </w:rPr>
            </w:pPr>
            <w:r>
              <w:rPr>
                <w:rFonts w:ascii="Times New Roman" w:hAnsi="Times New Roman" w:eastAsia="宋体" w:cs="Times New Roman"/>
              </w:rPr>
              <w:t>Apolipoprotein B</w:t>
            </w:r>
          </w:p>
        </w:tc>
        <w:tc>
          <w:tcPr>
            <w:tcW w:w="850" w:type="dxa"/>
          </w:tcPr>
          <w:p>
            <w:pPr>
              <w:jc w:val="center"/>
              <w:rPr>
                <w:rFonts w:ascii="Times New Roman" w:hAnsi="Times New Roman" w:eastAsia="宋体" w:cs="Times New Roman"/>
              </w:rPr>
            </w:pPr>
            <w:r>
              <w:rPr>
                <w:rFonts w:ascii="Times New Roman" w:hAnsi="Times New Roman" w:eastAsia="宋体" w:cs="Times New Roman"/>
              </w:rPr>
              <w:t>576.8</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235.1/292.1/918.5</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YVPGVALVLGFSEAHQR</w:t>
            </w:r>
          </w:p>
        </w:tc>
        <w:tc>
          <w:tcPr>
            <w:tcW w:w="2721" w:type="dxa"/>
          </w:tcPr>
          <w:p>
            <w:pPr>
              <w:jc w:val="center"/>
              <w:rPr>
                <w:rFonts w:ascii="Times New Roman" w:hAnsi="Times New Roman" w:eastAsia="宋体" w:cs="Times New Roman"/>
              </w:rPr>
            </w:pPr>
            <w:r>
              <w:rPr>
                <w:rFonts w:ascii="Times New Roman" w:hAnsi="Times New Roman" w:eastAsia="宋体" w:cs="Times New Roman"/>
              </w:rPr>
              <w:t>Vitellogenin-1</w:t>
            </w:r>
          </w:p>
        </w:tc>
        <w:tc>
          <w:tcPr>
            <w:tcW w:w="850" w:type="dxa"/>
          </w:tcPr>
          <w:p>
            <w:pPr>
              <w:jc w:val="center"/>
              <w:rPr>
                <w:rFonts w:ascii="Times New Roman" w:hAnsi="Times New Roman" w:eastAsia="宋体" w:cs="Times New Roman"/>
              </w:rPr>
            </w:pPr>
            <w:r>
              <w:rPr>
                <w:rFonts w:ascii="Times New Roman" w:hAnsi="Times New Roman" w:eastAsia="宋体" w:cs="Times New Roman"/>
              </w:rPr>
              <w:t>615.0</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527.6/931.4/1044.5</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VGATGEIFVVNSPR</w:t>
            </w:r>
          </w:p>
        </w:tc>
        <w:tc>
          <w:tcPr>
            <w:tcW w:w="2721" w:type="dxa"/>
          </w:tcPr>
          <w:p>
            <w:pPr>
              <w:jc w:val="center"/>
              <w:rPr>
                <w:rFonts w:ascii="Times New Roman" w:hAnsi="Times New Roman" w:eastAsia="宋体" w:cs="Times New Roman"/>
              </w:rPr>
            </w:pPr>
            <w:r>
              <w:rPr>
                <w:rFonts w:ascii="Times New Roman" w:hAnsi="Times New Roman" w:eastAsia="宋体" w:cs="Times New Roman"/>
              </w:rPr>
              <w:t>Vitellogenin-2</w:t>
            </w:r>
          </w:p>
        </w:tc>
        <w:tc>
          <w:tcPr>
            <w:tcW w:w="850" w:type="dxa"/>
          </w:tcPr>
          <w:p>
            <w:pPr>
              <w:jc w:val="center"/>
              <w:rPr>
                <w:rFonts w:ascii="Times New Roman" w:hAnsi="Times New Roman" w:eastAsia="宋体" w:cs="Times New Roman"/>
              </w:rPr>
            </w:pPr>
            <w:r>
              <w:rPr>
                <w:rFonts w:ascii="Times New Roman" w:hAnsi="Times New Roman" w:eastAsia="宋体" w:cs="Times New Roman"/>
              </w:rPr>
              <w:t>723.4</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572.3/818.5/931.5</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QSDSGTLITDVSSR</w:t>
            </w:r>
          </w:p>
        </w:tc>
        <w:tc>
          <w:tcPr>
            <w:tcW w:w="2721" w:type="dxa"/>
          </w:tcPr>
          <w:p>
            <w:pPr>
              <w:jc w:val="center"/>
              <w:rPr>
                <w:rFonts w:ascii="Times New Roman" w:hAnsi="Times New Roman" w:eastAsia="宋体" w:cs="Times New Roman"/>
              </w:rPr>
            </w:pPr>
            <w:r>
              <w:rPr>
                <w:rFonts w:ascii="Times New Roman" w:hAnsi="Times New Roman" w:eastAsia="宋体" w:cs="Times New Roman"/>
              </w:rPr>
              <w:t>Vitellogenin-2</w:t>
            </w:r>
          </w:p>
        </w:tc>
        <w:tc>
          <w:tcPr>
            <w:tcW w:w="850" w:type="dxa"/>
          </w:tcPr>
          <w:p>
            <w:pPr>
              <w:jc w:val="center"/>
              <w:rPr>
                <w:rFonts w:ascii="Times New Roman" w:hAnsi="Times New Roman" w:eastAsia="宋体" w:cs="Times New Roman"/>
              </w:rPr>
            </w:pPr>
            <w:r>
              <w:rPr>
                <w:rFonts w:ascii="Times New Roman" w:hAnsi="Times New Roman" w:eastAsia="宋体" w:cs="Times New Roman"/>
              </w:rPr>
              <w:t>733.4</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664.3/777.4/890.5</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FLPISSSSAADIPVHIQIDAITALK</w:t>
            </w:r>
          </w:p>
        </w:tc>
        <w:tc>
          <w:tcPr>
            <w:tcW w:w="2721" w:type="dxa"/>
          </w:tcPr>
          <w:p>
            <w:pPr>
              <w:jc w:val="center"/>
              <w:rPr>
                <w:rFonts w:ascii="Times New Roman" w:hAnsi="Times New Roman" w:eastAsia="宋体" w:cs="Times New Roman"/>
              </w:rPr>
            </w:pPr>
            <w:r>
              <w:rPr>
                <w:rFonts w:ascii="Times New Roman" w:hAnsi="Times New Roman" w:eastAsia="宋体" w:cs="Times New Roman"/>
              </w:rPr>
              <w:t>Vitellogenin-2</w:t>
            </w:r>
          </w:p>
        </w:tc>
        <w:tc>
          <w:tcPr>
            <w:tcW w:w="850" w:type="dxa"/>
          </w:tcPr>
          <w:p>
            <w:pPr>
              <w:jc w:val="center"/>
              <w:rPr>
                <w:rFonts w:ascii="Times New Roman" w:hAnsi="Times New Roman" w:eastAsia="宋体" w:cs="Times New Roman"/>
              </w:rPr>
            </w:pPr>
            <w:r>
              <w:rPr>
                <w:rFonts w:ascii="Times New Roman" w:hAnsi="Times New Roman" w:eastAsia="宋体" w:cs="Times New Roman"/>
              </w:rPr>
              <w:t>869.8</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766.5/783.4/1069.1</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LCADASVR</w:t>
            </w:r>
          </w:p>
        </w:tc>
        <w:tc>
          <w:tcPr>
            <w:tcW w:w="2721" w:type="dxa"/>
          </w:tcPr>
          <w:p>
            <w:pPr>
              <w:jc w:val="center"/>
              <w:rPr>
                <w:rFonts w:ascii="Times New Roman" w:hAnsi="Times New Roman" w:eastAsia="宋体" w:cs="Times New Roman"/>
              </w:rPr>
            </w:pPr>
            <w:r>
              <w:rPr>
                <w:rFonts w:ascii="Times New Roman" w:hAnsi="Times New Roman" w:eastAsia="宋体" w:cs="Times New Roman"/>
              </w:rPr>
              <w:t>Vitellogenin-2</w:t>
            </w:r>
          </w:p>
        </w:tc>
        <w:tc>
          <w:tcPr>
            <w:tcW w:w="850" w:type="dxa"/>
          </w:tcPr>
          <w:p>
            <w:pPr>
              <w:jc w:val="center"/>
              <w:rPr>
                <w:rFonts w:ascii="Times New Roman" w:hAnsi="Times New Roman" w:eastAsia="宋体" w:cs="Times New Roman"/>
              </w:rPr>
            </w:pPr>
            <w:r>
              <w:rPr>
                <w:rFonts w:ascii="Times New Roman" w:hAnsi="Times New Roman" w:eastAsia="宋体" w:cs="Times New Roman"/>
              </w:rPr>
              <w:t>446.2</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432.3/547.3/618.3</w:t>
            </w:r>
          </w:p>
        </w:tc>
      </w:tr>
      <w:tr>
        <w:trPr>
          <w:jc w:val="center"/>
        </w:trPr>
        <w:tc>
          <w:tcPr>
            <w:tcW w:w="737" w:type="dxa"/>
            <w:vMerge w:val="continue"/>
            <w:vAlign w:val="center"/>
          </w:tcPr>
          <w:p>
            <w:pPr>
              <w:jc w:val="center"/>
              <w:rPr>
                <w:rFonts w:ascii="Times New Roman" w:hAnsi="Times New Roman" w:eastAsia="宋体" w:cs="Times New Roman"/>
              </w:rPr>
            </w:pPr>
          </w:p>
        </w:tc>
        <w:tc>
          <w:tcPr>
            <w:tcW w:w="3005" w:type="dxa"/>
          </w:tcPr>
          <w:p>
            <w:pPr>
              <w:jc w:val="center"/>
              <w:rPr>
                <w:rFonts w:ascii="Times New Roman" w:hAnsi="Times New Roman" w:eastAsia="宋体" w:cs="Times New Roman"/>
              </w:rPr>
            </w:pPr>
            <w:r>
              <w:rPr>
                <w:rFonts w:ascii="Times New Roman" w:hAnsi="Times New Roman" w:eastAsia="宋体" w:cs="Times New Roman"/>
              </w:rPr>
              <w:t>TITIQVPLWMAGK</w:t>
            </w:r>
          </w:p>
        </w:tc>
        <w:tc>
          <w:tcPr>
            <w:tcW w:w="2721" w:type="dxa"/>
          </w:tcPr>
          <w:p>
            <w:pPr>
              <w:jc w:val="center"/>
              <w:rPr>
                <w:rFonts w:ascii="Times New Roman" w:hAnsi="Times New Roman" w:eastAsia="宋体" w:cs="Times New Roman"/>
              </w:rPr>
            </w:pPr>
            <w:r>
              <w:rPr>
                <w:rFonts w:ascii="Times New Roman" w:hAnsi="Times New Roman" w:eastAsia="宋体" w:cs="Times New Roman"/>
              </w:rPr>
              <w:t>Vitellogenin-2</w:t>
            </w:r>
          </w:p>
        </w:tc>
        <w:tc>
          <w:tcPr>
            <w:tcW w:w="850" w:type="dxa"/>
          </w:tcPr>
          <w:p>
            <w:pPr>
              <w:jc w:val="center"/>
              <w:rPr>
                <w:rFonts w:ascii="Times New Roman" w:hAnsi="Times New Roman" w:eastAsia="宋体" w:cs="Times New Roman"/>
              </w:rPr>
            </w:pPr>
            <w:r>
              <w:rPr>
                <w:rFonts w:ascii="Times New Roman" w:hAnsi="Times New Roman" w:eastAsia="宋体" w:cs="Times New Roman"/>
              </w:rPr>
              <w:t>729.4</w:t>
            </w:r>
          </w:p>
        </w:tc>
        <w:tc>
          <w:tcPr>
            <w:tcW w:w="1856" w:type="dxa"/>
            <w:vAlign w:val="center"/>
          </w:tcPr>
          <w:p>
            <w:pPr>
              <w:jc w:val="center"/>
              <w:rPr>
                <w:rFonts w:ascii="Times New Roman" w:hAnsi="Times New Roman" w:eastAsia="宋体" w:cs="Times New Roman"/>
              </w:rPr>
            </w:pPr>
            <w:r>
              <w:rPr>
                <w:rFonts w:ascii="Times New Roman" w:hAnsi="Times New Roman" w:eastAsia="宋体" w:cs="Times New Roman"/>
              </w:rPr>
              <w:t>215.1/298.2/901.5</w:t>
            </w:r>
          </w:p>
        </w:tc>
      </w:tr>
      <w:tr>
        <w:trPr>
          <w:jc w:val="center"/>
        </w:trPr>
        <w:tc>
          <w:tcPr>
            <w:tcW w:w="737" w:type="dxa"/>
            <w:vMerge w:val="continue"/>
            <w:tcBorders>
              <w:bottom w:val="single" w:color="auto" w:sz="12" w:space="0"/>
            </w:tcBorders>
            <w:vAlign w:val="center"/>
          </w:tcPr>
          <w:p>
            <w:pPr>
              <w:jc w:val="center"/>
              <w:rPr>
                <w:rFonts w:ascii="Times New Roman" w:hAnsi="Times New Roman" w:eastAsia="宋体" w:cs="Times New Roman"/>
              </w:rPr>
            </w:pPr>
          </w:p>
        </w:tc>
        <w:tc>
          <w:tcPr>
            <w:tcW w:w="3005" w:type="dxa"/>
            <w:tcBorders>
              <w:bottom w:val="single" w:color="auto" w:sz="12" w:space="0"/>
            </w:tcBorders>
          </w:tcPr>
          <w:p>
            <w:pPr>
              <w:jc w:val="center"/>
              <w:rPr>
                <w:rFonts w:ascii="Times New Roman" w:hAnsi="Times New Roman" w:eastAsia="宋体" w:cs="Times New Roman"/>
              </w:rPr>
            </w:pPr>
            <w:r>
              <w:rPr>
                <w:rFonts w:ascii="Times New Roman" w:hAnsi="Times New Roman" w:eastAsia="宋体" w:cs="Times New Roman"/>
              </w:rPr>
              <w:t>ALADLSVVDTAIR</w:t>
            </w:r>
          </w:p>
        </w:tc>
        <w:tc>
          <w:tcPr>
            <w:tcW w:w="2721" w:type="dxa"/>
            <w:tcBorders>
              <w:bottom w:val="single" w:color="auto" w:sz="12" w:space="0"/>
            </w:tcBorders>
          </w:tcPr>
          <w:p>
            <w:pPr>
              <w:jc w:val="center"/>
              <w:rPr>
                <w:rFonts w:ascii="Times New Roman" w:hAnsi="Times New Roman" w:eastAsia="宋体" w:cs="Times New Roman"/>
              </w:rPr>
            </w:pPr>
            <w:r>
              <w:rPr>
                <w:rFonts w:ascii="Times New Roman" w:hAnsi="Times New Roman" w:eastAsia="宋体" w:cs="Times New Roman"/>
              </w:rPr>
              <w:t>Apolipoprotein B</w:t>
            </w:r>
          </w:p>
        </w:tc>
        <w:tc>
          <w:tcPr>
            <w:tcW w:w="850" w:type="dxa"/>
            <w:tcBorders>
              <w:bottom w:val="single" w:color="auto" w:sz="12" w:space="0"/>
            </w:tcBorders>
          </w:tcPr>
          <w:p>
            <w:pPr>
              <w:jc w:val="center"/>
              <w:rPr>
                <w:rFonts w:ascii="Times New Roman" w:hAnsi="Times New Roman" w:eastAsia="宋体" w:cs="Times New Roman"/>
              </w:rPr>
            </w:pPr>
            <w:r>
              <w:rPr>
                <w:rFonts w:ascii="Times New Roman" w:hAnsi="Times New Roman" w:eastAsia="宋体" w:cs="Times New Roman"/>
              </w:rPr>
              <w:t>672.4</w:t>
            </w:r>
          </w:p>
        </w:tc>
        <w:tc>
          <w:tcPr>
            <w:tcW w:w="1856" w:type="dxa"/>
            <w:tcBorders>
              <w:bottom w:val="single" w:color="auto" w:sz="12" w:space="0"/>
            </w:tcBorders>
            <w:vAlign w:val="center"/>
          </w:tcPr>
          <w:p>
            <w:pPr>
              <w:jc w:val="center"/>
              <w:rPr>
                <w:rFonts w:ascii="Times New Roman" w:hAnsi="Times New Roman" w:eastAsia="宋体" w:cs="Times New Roman"/>
              </w:rPr>
            </w:pPr>
            <w:r>
              <w:rPr>
                <w:rFonts w:ascii="Times New Roman" w:hAnsi="Times New Roman" w:eastAsia="宋体" w:cs="Times New Roman"/>
              </w:rPr>
              <w:t>674.4/773.5/860.5</w:t>
            </w:r>
          </w:p>
        </w:tc>
      </w:tr>
    </w:tbl>
    <w:p>
      <w:pPr>
        <w:pStyle w:val="4"/>
        <w:rPr>
          <w:rFonts w:ascii="Times New Roman" w:hAnsi="Times New Roman" w:cs="Times New Roman"/>
        </w:rPr>
      </w:pPr>
      <w:r>
        <w:rPr>
          <w:rFonts w:ascii="Times New Roman" w:hAnsi="Times New Roman" w:cs="Times New Roman"/>
        </w:rPr>
        <w:t>2. 仪器测定条件的选择和优化</w:t>
      </w:r>
    </w:p>
    <w:p>
      <w:pPr>
        <w:pStyle w:val="5"/>
        <w:rPr>
          <w:rFonts w:ascii="Times New Roman" w:hAnsi="Times New Roman" w:cs="Times New Roman"/>
        </w:rPr>
      </w:pPr>
      <w:r>
        <w:rPr>
          <w:rFonts w:ascii="Times New Roman" w:hAnsi="Times New Roman" w:cs="Times New Roman"/>
        </w:rPr>
        <w:t>2.1 质谱条件优化和选择</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多肽是由两个或两个以上氨基酸通过肽键共价连接形成的物质，其中含有大量的胺基，易结合H</w:t>
      </w:r>
      <w:r>
        <w:rPr>
          <w:rFonts w:hint="eastAsia" w:ascii="Times New Roman" w:hAnsi="Times New Roman" w:eastAsia="宋体" w:cs="Times New Roman"/>
          <w:sz w:val="28"/>
          <w:szCs w:val="28"/>
          <w:vertAlign w:val="superscript"/>
        </w:rPr>
        <w:t>+</w:t>
      </w:r>
      <w:r>
        <w:rPr>
          <w:rFonts w:hint="eastAsia" w:ascii="Times New Roman" w:hAnsi="Times New Roman" w:eastAsia="宋体" w:cs="Times New Roman"/>
          <w:sz w:val="28"/>
          <w:szCs w:val="28"/>
        </w:rPr>
        <w:t>，带正电荷，因此选择正模式采集条件。</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在质谱检测过程中，碰撞能量是影响多肽响应情况的关键因素，且同一多肽在不同仪器的碰撞能量是不同的，这需要根据仪器情况重新调整。如</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_Ref179795075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 xml:space="preserve">图 </w:t>
      </w:r>
      <w:r>
        <w:rPr>
          <w:rFonts w:ascii="Times New Roman" w:hAnsi="Times New Roman" w:eastAsia="宋体" w:cs="Times New Roman"/>
          <w:sz w:val="28"/>
          <w:szCs w:val="28"/>
        </w:rPr>
        <w:t>3</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所示，不同碰撞能量下多肽的响应强度相差较大，通过T-检验分析得知，置信区间为95%时，P&lt;0.001，证明数据之间存在显著性差异，也说明碰撞能量是仪器条件中的关键因素。</w:t>
      </w:r>
    </w:p>
    <w:p>
      <w:pPr>
        <w:rPr>
          <w:rFonts w:ascii="Times New Roman" w:hAnsi="Times New Roman" w:eastAsia="宋体" w:cs="Times New Roman"/>
          <w:sz w:val="28"/>
          <w:szCs w:val="28"/>
        </w:rPr>
      </w:pPr>
      <w:r>
        <w:rPr>
          <w:rFonts w:ascii="Times New Roman" w:hAnsi="Times New Roman" w:eastAsia="宋体" w:cs="Times New Roman"/>
          <w:sz w:val="28"/>
          <w:szCs w:val="28"/>
        </w:rPr>
        <w:drawing>
          <wp:inline distT="0" distB="0" distL="0" distR="0">
            <wp:extent cx="5183505" cy="4865370"/>
            <wp:effectExtent l="0" t="0" r="0" b="0"/>
            <wp:docPr id="1678185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18568"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5189395" cy="4870814"/>
                    </a:xfrm>
                    <a:prstGeom prst="rect">
                      <a:avLst/>
                    </a:prstGeom>
                    <a:noFill/>
                  </pic:spPr>
                </pic:pic>
              </a:graphicData>
            </a:graphic>
          </wp:inline>
        </w:drawing>
      </w:r>
    </w:p>
    <w:p>
      <w:pPr>
        <w:pStyle w:val="6"/>
        <w:jc w:val="center"/>
        <w:rPr>
          <w:rFonts w:ascii="Times New Roman" w:hAnsi="Times New Roman" w:eastAsia="宋体" w:cs="Times New Roman"/>
          <w:sz w:val="21"/>
          <w:szCs w:val="21"/>
        </w:rPr>
      </w:pPr>
      <w:bookmarkStart w:id="4" w:name="_Ref179795075"/>
      <w:r>
        <w:rPr>
          <w:rFonts w:hint="eastAsia" w:ascii="Times New Roman" w:hAnsi="Times New Roman" w:eastAsia="宋体" w:cs="Times New Roman"/>
          <w:sz w:val="21"/>
          <w:szCs w:val="21"/>
        </w:rPr>
        <w:t xml:space="preserve">图 </w:t>
      </w:r>
      <w:r>
        <w:rPr>
          <w:rFonts w:hint="eastAsia" w:ascii="Times New Roman" w:hAnsi="Times New Roman" w:eastAsia="宋体" w:cs="Times New Roman"/>
          <w:sz w:val="21"/>
          <w:szCs w:val="21"/>
        </w:rPr>
        <w:fldChar w:fldCharType="begin"/>
      </w:r>
      <w:r>
        <w:rPr>
          <w:rFonts w:hint="eastAsia" w:ascii="Times New Roman" w:hAnsi="Times New Roman" w:eastAsia="宋体" w:cs="Times New Roman"/>
          <w:sz w:val="21"/>
          <w:szCs w:val="21"/>
        </w:rPr>
        <w:instrText xml:space="preserve"> SEQ 图 \* ARABIC </w:instrText>
      </w:r>
      <w:r>
        <w:rPr>
          <w:rFonts w:hint="eastAsia" w:ascii="Times New Roman" w:hAnsi="Times New Roman" w:eastAsia="宋体" w:cs="Times New Roman"/>
          <w:sz w:val="21"/>
          <w:szCs w:val="21"/>
        </w:rPr>
        <w:fldChar w:fldCharType="separate"/>
      </w:r>
      <w:r>
        <w:rPr>
          <w:rFonts w:ascii="Times New Roman" w:hAnsi="Times New Roman" w:eastAsia="宋体" w:cs="Times New Roman"/>
          <w:sz w:val="21"/>
          <w:szCs w:val="21"/>
        </w:rPr>
        <w:t>3</w:t>
      </w:r>
      <w:r>
        <w:rPr>
          <w:rFonts w:hint="eastAsia" w:ascii="Times New Roman" w:hAnsi="Times New Roman" w:eastAsia="宋体" w:cs="Times New Roman"/>
          <w:sz w:val="21"/>
          <w:szCs w:val="21"/>
        </w:rPr>
        <w:fldChar w:fldCharType="end"/>
      </w:r>
      <w:bookmarkEnd w:id="4"/>
      <w:r>
        <w:rPr>
          <w:rFonts w:hint="eastAsia" w:ascii="Times New Roman" w:hAnsi="Times New Roman" w:eastAsia="宋体" w:cs="Times New Roman"/>
          <w:sz w:val="21"/>
          <w:szCs w:val="21"/>
        </w:rPr>
        <w:t xml:space="preserve"> 不同碰撞能量下多肽APFASIVAGIGGQ的质谱响应情况</w:t>
      </w:r>
    </w:p>
    <w:p>
      <w:pPr>
        <w:pStyle w:val="5"/>
        <w:rPr>
          <w:rFonts w:ascii="Times New Roman" w:hAnsi="Times New Roman" w:cs="Times New Roman"/>
        </w:rPr>
      </w:pPr>
      <w:r>
        <w:rPr>
          <w:rFonts w:ascii="Times New Roman" w:hAnsi="Times New Roman" w:cs="Times New Roman"/>
        </w:rPr>
        <w:t>2.2 液相条件优化和选择</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由于方法采用正模式扫描条件，因此在流动相中加入适量的酸来提供稳定的H</w:t>
      </w:r>
      <w:r>
        <w:rPr>
          <w:rFonts w:hint="eastAsia" w:ascii="Times New Roman" w:hAnsi="Times New Roman" w:eastAsia="宋体" w:cs="Times New Roman"/>
          <w:sz w:val="28"/>
          <w:szCs w:val="28"/>
          <w:vertAlign w:val="superscript"/>
        </w:rPr>
        <w:t>+</w:t>
      </w:r>
      <w:r>
        <w:rPr>
          <w:rFonts w:hint="eastAsia" w:ascii="Times New Roman" w:hAnsi="Times New Roman" w:eastAsia="宋体" w:cs="Times New Roman"/>
          <w:sz w:val="28"/>
          <w:szCs w:val="28"/>
        </w:rPr>
        <w:t>，促使多肽带正电荷，提升响应强度。使用0.1%甲酸/水及0.1%甲酸/乙腈为流动相，并设置梯度洗脱程序使得多肽具有良好的分离度及峰形。选择C</w:t>
      </w:r>
      <w:r>
        <w:rPr>
          <w:rFonts w:hint="eastAsia" w:ascii="Times New Roman" w:hAnsi="Times New Roman" w:eastAsia="宋体" w:cs="Times New Roman"/>
          <w:sz w:val="28"/>
          <w:szCs w:val="28"/>
          <w:vertAlign w:val="subscript"/>
        </w:rPr>
        <w:t>18</w:t>
      </w:r>
      <w:r>
        <w:rPr>
          <w:rFonts w:hint="eastAsia" w:ascii="Times New Roman" w:hAnsi="Times New Roman" w:eastAsia="宋体" w:cs="Times New Roman"/>
          <w:sz w:val="28"/>
          <w:szCs w:val="28"/>
        </w:rPr>
        <w:t>色谱柱进行分离，由于基质复杂，多肽种类较多，因此选择长的色谱柱会获得更好的色谱峰分离效果及色谱峰形。</w:t>
      </w:r>
    </w:p>
    <w:p>
      <w:pPr>
        <w:pStyle w:val="4"/>
        <w:rPr>
          <w:rFonts w:ascii="Times New Roman" w:hAnsi="Times New Roman" w:cs="Times New Roman"/>
        </w:rPr>
      </w:pPr>
      <w:r>
        <w:rPr>
          <w:rFonts w:ascii="Times New Roman" w:hAnsi="Times New Roman" w:cs="Times New Roman"/>
        </w:rPr>
        <w:t>3. 试样前处理条件的选择和优化</w:t>
      </w:r>
    </w:p>
    <w:p>
      <w:pPr>
        <w:pStyle w:val="5"/>
        <w:rPr>
          <w:rFonts w:ascii="Times New Roman" w:hAnsi="Times New Roman" w:cs="Times New Roman"/>
        </w:rPr>
      </w:pPr>
      <w:r>
        <w:rPr>
          <w:rFonts w:ascii="Times New Roman" w:hAnsi="Times New Roman" w:cs="Times New Roman"/>
        </w:rPr>
        <w:t>3.1 蛋白提取溶液的选择</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蛋白提取过程目的是促使样品中的蛋白质变性，进而能够将蛋白提取至溶液中。常用的蛋白提取溶液包括十二烷基硫酸钠溶液（SDS）、Tris-HCl缓冲溶液、NH</w:t>
      </w:r>
      <w:r>
        <w:rPr>
          <w:rFonts w:hint="eastAsia" w:ascii="Times New Roman" w:hAnsi="Times New Roman" w:eastAsia="宋体" w:cs="Times New Roman"/>
          <w:sz w:val="28"/>
          <w:szCs w:val="28"/>
          <w:vertAlign w:val="subscript"/>
        </w:rPr>
        <w:t>4</w:t>
      </w:r>
      <w:r>
        <w:rPr>
          <w:rFonts w:hint="eastAsia" w:ascii="Times New Roman" w:hAnsi="Times New Roman" w:eastAsia="宋体" w:cs="Times New Roman"/>
          <w:sz w:val="28"/>
          <w:szCs w:val="28"/>
        </w:rPr>
        <w:t>HCO</w:t>
      </w:r>
      <w:r>
        <w:rPr>
          <w:rFonts w:hint="eastAsia" w:ascii="Times New Roman" w:hAnsi="Times New Roman" w:eastAsia="宋体" w:cs="Times New Roman"/>
          <w:sz w:val="28"/>
          <w:szCs w:val="28"/>
          <w:vertAlign w:val="subscript"/>
        </w:rPr>
        <w:t>3</w:t>
      </w:r>
      <w:r>
        <w:rPr>
          <w:rFonts w:hint="eastAsia" w:ascii="Times New Roman" w:hAnsi="Times New Roman" w:eastAsia="宋体" w:cs="Times New Roman"/>
          <w:sz w:val="28"/>
          <w:szCs w:val="28"/>
        </w:rPr>
        <w:t>缓冲溶液、高浓度尿素溶液。其中SDS的蛋白提取效果好，但其净化步骤复杂，需要丙酮反复萃取。既不易除去，进而对质谱检测不友好，很容易残留在质谱体系中，影响色谱柱分离效果，抑制离子在质谱中的电喷雾过程，争夺电荷，从而影响化合物的检测；也易在反复萃取过程中产生损失，因此排除了SDS提取溶液。此外，Tris-HCl缓冲溶液、NH</w:t>
      </w:r>
      <w:r>
        <w:rPr>
          <w:rFonts w:hint="eastAsia" w:ascii="Times New Roman" w:hAnsi="Times New Roman" w:eastAsia="宋体" w:cs="Times New Roman"/>
          <w:sz w:val="28"/>
          <w:szCs w:val="28"/>
          <w:vertAlign w:val="subscript"/>
        </w:rPr>
        <w:t>4</w:t>
      </w:r>
      <w:r>
        <w:rPr>
          <w:rFonts w:hint="eastAsia" w:ascii="Times New Roman" w:hAnsi="Times New Roman" w:eastAsia="宋体" w:cs="Times New Roman"/>
          <w:sz w:val="28"/>
          <w:szCs w:val="28"/>
        </w:rPr>
        <w:t>HCO</w:t>
      </w:r>
      <w:r>
        <w:rPr>
          <w:rFonts w:hint="eastAsia" w:ascii="Times New Roman" w:hAnsi="Times New Roman" w:eastAsia="宋体" w:cs="Times New Roman"/>
          <w:sz w:val="28"/>
          <w:szCs w:val="28"/>
          <w:vertAlign w:val="subscript"/>
        </w:rPr>
        <w:t>3</w:t>
      </w:r>
      <w:r>
        <w:rPr>
          <w:rFonts w:hint="eastAsia" w:ascii="Times New Roman" w:hAnsi="Times New Roman" w:eastAsia="宋体" w:cs="Times New Roman"/>
          <w:sz w:val="28"/>
          <w:szCs w:val="28"/>
        </w:rPr>
        <w:t>缓冲溶液适用于粉装类的样品的蛋白提取，如植物蛋白粉、冻干粉等，但对于肉制品等基质复杂的样品，并不能有效的提取蛋白，而高浓度的尿素通过破坏蛋白质的二级和三级结构来使疏水蛋白溶解并防止其蛋白质之间的相互作用，硫脲可以增加一些难溶的疏水蛋白质的溶解。单独使用尿素时浓度至少8 M（最高可到9.8 M），在加入硫脲的过程中可以适当降低尿素的浓度，所以在同时使用的情况下，尿素的浓度是7 M，硫脲是2 M，能够有效地提取蛋白，如</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_Ref179795401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 xml:space="preserve">图 </w:t>
      </w:r>
      <w:r>
        <w:rPr>
          <w:rFonts w:ascii="Times New Roman" w:hAnsi="Times New Roman" w:eastAsia="宋体" w:cs="Times New Roman"/>
          <w:sz w:val="28"/>
          <w:szCs w:val="28"/>
        </w:rPr>
        <w:t>4</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所示。</w:t>
      </w:r>
    </w:p>
    <w:p>
      <w:pPr>
        <w:jc w:val="center"/>
        <w:rPr>
          <w:rFonts w:ascii="Times New Roman" w:hAnsi="Times New Roman" w:eastAsia="宋体" w:cs="Times New Roman"/>
          <w:sz w:val="28"/>
          <w:szCs w:val="28"/>
        </w:rPr>
      </w:pPr>
      <w:r>
        <w:rPr>
          <w:rFonts w:ascii="Times New Roman" w:hAnsi="Times New Roman" w:eastAsia="宋体" w:cs="Times New Roman"/>
          <w:sz w:val="28"/>
          <w:szCs w:val="28"/>
        </w:rPr>
        <w:drawing>
          <wp:inline distT="0" distB="0" distL="0" distR="0">
            <wp:extent cx="3194685" cy="2194560"/>
            <wp:effectExtent l="0" t="0" r="0" b="0"/>
            <wp:docPr id="10499035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9903545"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203344" cy="2200654"/>
                    </a:xfrm>
                    <a:prstGeom prst="rect">
                      <a:avLst/>
                    </a:prstGeom>
                    <a:noFill/>
                  </pic:spPr>
                </pic:pic>
              </a:graphicData>
            </a:graphic>
          </wp:inline>
        </w:drawing>
      </w:r>
    </w:p>
    <w:p>
      <w:pPr>
        <w:pStyle w:val="6"/>
        <w:jc w:val="center"/>
        <w:rPr>
          <w:rFonts w:ascii="Times New Roman" w:hAnsi="Times New Roman" w:eastAsia="宋体" w:cs="Times New Roman"/>
          <w:sz w:val="21"/>
          <w:szCs w:val="21"/>
        </w:rPr>
      </w:pPr>
      <w:bookmarkStart w:id="5" w:name="_Ref179795401"/>
      <w:r>
        <w:rPr>
          <w:rFonts w:hint="eastAsia" w:ascii="Times New Roman" w:hAnsi="Times New Roman" w:eastAsia="宋体" w:cs="Times New Roman"/>
          <w:sz w:val="21"/>
          <w:szCs w:val="21"/>
        </w:rPr>
        <w:t xml:space="preserve">图 </w:t>
      </w:r>
      <w:r>
        <w:rPr>
          <w:rFonts w:hint="eastAsia" w:ascii="Times New Roman" w:hAnsi="Times New Roman" w:eastAsia="宋体" w:cs="Times New Roman"/>
          <w:sz w:val="21"/>
          <w:szCs w:val="21"/>
        </w:rPr>
        <w:fldChar w:fldCharType="begin"/>
      </w:r>
      <w:r>
        <w:rPr>
          <w:rFonts w:hint="eastAsia" w:ascii="Times New Roman" w:hAnsi="Times New Roman" w:eastAsia="宋体" w:cs="Times New Roman"/>
          <w:sz w:val="21"/>
          <w:szCs w:val="21"/>
        </w:rPr>
        <w:instrText xml:space="preserve"> SEQ 图 \* ARABIC </w:instrText>
      </w:r>
      <w:r>
        <w:rPr>
          <w:rFonts w:hint="eastAsia" w:ascii="Times New Roman" w:hAnsi="Times New Roman" w:eastAsia="宋体" w:cs="Times New Roman"/>
          <w:sz w:val="21"/>
          <w:szCs w:val="21"/>
        </w:rPr>
        <w:fldChar w:fldCharType="separate"/>
      </w:r>
      <w:r>
        <w:rPr>
          <w:rFonts w:ascii="Times New Roman" w:hAnsi="Times New Roman" w:eastAsia="宋体" w:cs="Times New Roman"/>
          <w:sz w:val="21"/>
          <w:szCs w:val="21"/>
        </w:rPr>
        <w:t>4</w:t>
      </w:r>
      <w:r>
        <w:rPr>
          <w:rFonts w:hint="eastAsia" w:ascii="Times New Roman" w:hAnsi="Times New Roman" w:eastAsia="宋体" w:cs="Times New Roman"/>
          <w:sz w:val="21"/>
          <w:szCs w:val="21"/>
        </w:rPr>
        <w:fldChar w:fldCharType="end"/>
      </w:r>
      <w:bookmarkEnd w:id="5"/>
      <w:r>
        <w:rPr>
          <w:rFonts w:hint="eastAsia" w:ascii="Times New Roman" w:hAnsi="Times New Roman" w:eastAsia="宋体" w:cs="Times New Roman"/>
          <w:sz w:val="21"/>
          <w:szCs w:val="21"/>
        </w:rPr>
        <w:t xml:space="preserve"> 不同提取溶液对大豆蛋白多肽的提取效果</w:t>
      </w:r>
    </w:p>
    <w:p>
      <w:pPr>
        <w:pStyle w:val="5"/>
        <w:rPr>
          <w:rFonts w:ascii="Times New Roman" w:hAnsi="Times New Roman" w:cs="Times New Roman"/>
        </w:rPr>
      </w:pPr>
      <w:r>
        <w:rPr>
          <w:rFonts w:ascii="Times New Roman" w:hAnsi="Times New Roman" w:cs="Times New Roman"/>
        </w:rPr>
        <w:t xml:space="preserve">3.2 </w:t>
      </w:r>
      <w:r>
        <w:rPr>
          <w:rFonts w:hint="eastAsia" w:ascii="Times New Roman" w:hAnsi="Times New Roman" w:cs="Times New Roman"/>
        </w:rPr>
        <w:t>蛋白酶的选择</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蛋白质组学中常用的是胰蛋白酶，主要原因是胰蛋白酶有固定的酶切位点，是在C端赖氨酸（R）和精氨酸（K）后进行酶切，有助于后续通过质谱测定的多肽信息推导出蛋白的结构，便于解析。</w:t>
      </w:r>
    </w:p>
    <w:p>
      <w:pPr>
        <w:pStyle w:val="5"/>
        <w:rPr>
          <w:rFonts w:ascii="Times New Roman" w:hAnsi="Times New Roman" w:cs="Times New Roman"/>
        </w:rPr>
      </w:pPr>
      <w:r>
        <w:rPr>
          <w:rFonts w:ascii="Times New Roman" w:hAnsi="Times New Roman" w:cs="Times New Roman"/>
        </w:rPr>
        <w:t>3.3 酶解时间的选择</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由于蛋白提取溶液中含有高浓度的尿素，一定要先将尿素稀释到1 M以下，否则高浓度的尿素也会让胰蛋白酶变性，失去活性，从而影响酶解效果。因此在蛋白酶解之前需要加入适量的Tris-HCl溶液，将尿素的浓度稀释至1 M以下。</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 xml:space="preserve">胰蛋白酶的加入是按照酶含量/蛋白含量为1/50进行添加，按照实验步骤进行蛋白含量初步推断，纯肉中蛋白含量约为20%，加入20 mL提取溶液，吸取200 </w:t>
      </w:r>
      <w:r>
        <w:rPr>
          <w:rFonts w:ascii="Times New Roman" w:hAnsi="Times New Roman" w:eastAsia="宋体" w:cs="Times New Roman"/>
          <w:sz w:val="28"/>
          <w:szCs w:val="28"/>
        </w:rPr>
        <w:t>µ</w:t>
      </w:r>
      <w:r>
        <w:rPr>
          <w:rFonts w:hint="eastAsia" w:ascii="Times New Roman" w:hAnsi="Times New Roman" w:eastAsia="宋体" w:cs="Times New Roman"/>
          <w:sz w:val="28"/>
          <w:szCs w:val="28"/>
        </w:rPr>
        <w:t>L上清溶液，因此2 g肉中的蛋白含量约为4 mg</w:t>
      </w:r>
      <w:r>
        <w:rPr>
          <w:rFonts w:hint="eastAsia" w:ascii="宋体" w:hAnsi="宋体" w:eastAsia="宋体" w:cs="Times New Roman"/>
          <w:sz w:val="28"/>
          <w:szCs w:val="28"/>
        </w:rPr>
        <w:t>，按照</w:t>
      </w:r>
      <w:r>
        <w:rPr>
          <w:rFonts w:hint="eastAsia" w:ascii="Times New Roman" w:hAnsi="Times New Roman" w:eastAsia="宋体" w:cs="Times New Roman"/>
          <w:sz w:val="28"/>
          <w:szCs w:val="28"/>
        </w:rPr>
        <w:t>1/50的比</w:t>
      </w:r>
      <w:r>
        <w:rPr>
          <w:rFonts w:hint="eastAsia" w:ascii="宋体" w:hAnsi="宋体" w:eastAsia="宋体" w:cs="Times New Roman"/>
          <w:sz w:val="28"/>
          <w:szCs w:val="28"/>
        </w:rPr>
        <w:t>例添加胰蛋白酶，胰蛋白酶的含量</w:t>
      </w:r>
      <w:r>
        <w:rPr>
          <w:rFonts w:hint="eastAsia" w:ascii="Times New Roman" w:hAnsi="Times New Roman" w:eastAsia="宋体" w:cs="Times New Roman"/>
          <w:sz w:val="28"/>
          <w:szCs w:val="28"/>
        </w:rPr>
        <w:t xml:space="preserve">应为0.08 mg，而日常肉制品中的蛋白含量低于纯肉中的蛋白含量，因此折合加入60 </w:t>
      </w:r>
      <w:r>
        <w:rPr>
          <w:rFonts w:ascii="Times New Roman" w:hAnsi="Times New Roman" w:eastAsia="宋体" w:cs="Times New Roman"/>
          <w:sz w:val="28"/>
          <w:szCs w:val="28"/>
        </w:rPr>
        <w:t>µ</w:t>
      </w:r>
      <w:r>
        <w:rPr>
          <w:rFonts w:hint="eastAsia" w:ascii="Times New Roman" w:hAnsi="Times New Roman" w:eastAsia="宋体" w:cs="Times New Roman"/>
          <w:sz w:val="28"/>
          <w:szCs w:val="28"/>
        </w:rPr>
        <w:t>L 1 mg/mL的胰蛋白酶能够满足检测需求。</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胰蛋白酶是在37℃下进行酶解反应，通常需要过夜酶解，这也是整个标准中耗时最长的步骤，由此，通过考察不同蛋白酶解时间对多肽响应值的影响，从而筛选最佳的酶解时间，提高样品前处理的效率。如</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_Ref179795688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 xml:space="preserve">图 </w:t>
      </w:r>
      <w:r>
        <w:rPr>
          <w:rFonts w:ascii="Times New Roman" w:hAnsi="Times New Roman" w:eastAsia="宋体" w:cs="Times New Roman"/>
          <w:sz w:val="28"/>
          <w:szCs w:val="28"/>
        </w:rPr>
        <w:t>5</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所示，大多数多肽的响应强度与酶解时间的趋势是随着时间的延长，响应强度会先上升后趋于平缓，绝大数多肽的响应强度在4 h的酶解时间下能达到平缓，少数多肽的响应强度会随着时间的上升一直增大，因此在多肽选择时排除酶解时间影响较大的多肽。此外，还观察到，当酶解时间大于24 h时，多肽的响应强度反而下降，这可能是由于随着时间的延长，蛋白酶解的无序化增加，导致多肽被酶解，使得响应强度降低。因此在本标准中选择4 h作为酶解时间，既保证了酶解的有效性，又加快了实验速度，提高了效率。</w:t>
      </w:r>
    </w:p>
    <w:p>
      <w:pPr>
        <w:jc w:val="center"/>
        <w:rPr>
          <w:rFonts w:ascii="Times New Roman" w:hAnsi="Times New Roman" w:eastAsia="宋体" w:cs="Times New Roman"/>
          <w:sz w:val="28"/>
          <w:szCs w:val="28"/>
        </w:rPr>
      </w:pPr>
      <w:r>
        <w:rPr>
          <w:rFonts w:ascii="Times New Roman" w:hAnsi="Times New Roman" w:eastAsia="宋体" w:cs="Times New Roman"/>
          <w:sz w:val="28"/>
          <w:szCs w:val="28"/>
        </w:rPr>
        <w:drawing>
          <wp:inline distT="0" distB="0" distL="0" distR="0">
            <wp:extent cx="3408680" cy="2202180"/>
            <wp:effectExtent l="0" t="0" r="0" b="0"/>
            <wp:docPr id="33308220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082204" name="图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3419450" cy="2209057"/>
                    </a:xfrm>
                    <a:prstGeom prst="rect">
                      <a:avLst/>
                    </a:prstGeom>
                    <a:noFill/>
                  </pic:spPr>
                </pic:pic>
              </a:graphicData>
            </a:graphic>
          </wp:inline>
        </w:drawing>
      </w:r>
    </w:p>
    <w:p>
      <w:pPr>
        <w:pStyle w:val="6"/>
        <w:jc w:val="center"/>
        <w:rPr>
          <w:rFonts w:ascii="Times New Roman" w:hAnsi="Times New Roman" w:eastAsia="宋体" w:cs="Times New Roman"/>
          <w:sz w:val="21"/>
          <w:szCs w:val="21"/>
        </w:rPr>
      </w:pPr>
      <w:bookmarkStart w:id="6" w:name="_Ref179795688"/>
      <w:r>
        <w:rPr>
          <w:rFonts w:hint="eastAsia" w:ascii="Times New Roman" w:hAnsi="Times New Roman" w:eastAsia="宋体" w:cs="Times New Roman"/>
          <w:sz w:val="21"/>
          <w:szCs w:val="21"/>
        </w:rPr>
        <w:t xml:space="preserve">图 </w:t>
      </w:r>
      <w:r>
        <w:rPr>
          <w:rFonts w:hint="eastAsia" w:ascii="Times New Roman" w:hAnsi="Times New Roman" w:eastAsia="宋体" w:cs="Times New Roman"/>
          <w:sz w:val="21"/>
          <w:szCs w:val="21"/>
        </w:rPr>
        <w:fldChar w:fldCharType="begin"/>
      </w:r>
      <w:r>
        <w:rPr>
          <w:rFonts w:hint="eastAsia" w:ascii="Times New Roman" w:hAnsi="Times New Roman" w:eastAsia="宋体" w:cs="Times New Roman"/>
          <w:sz w:val="21"/>
          <w:szCs w:val="21"/>
        </w:rPr>
        <w:instrText xml:space="preserve"> SEQ 图 \* ARABIC </w:instrText>
      </w:r>
      <w:r>
        <w:rPr>
          <w:rFonts w:hint="eastAsia" w:ascii="Times New Roman" w:hAnsi="Times New Roman" w:eastAsia="宋体" w:cs="Times New Roman"/>
          <w:sz w:val="21"/>
          <w:szCs w:val="21"/>
        </w:rPr>
        <w:fldChar w:fldCharType="separate"/>
      </w:r>
      <w:r>
        <w:rPr>
          <w:rFonts w:ascii="Times New Roman" w:hAnsi="Times New Roman" w:eastAsia="宋体" w:cs="Times New Roman"/>
          <w:sz w:val="21"/>
          <w:szCs w:val="21"/>
        </w:rPr>
        <w:t>5</w:t>
      </w:r>
      <w:r>
        <w:rPr>
          <w:rFonts w:hint="eastAsia" w:ascii="Times New Roman" w:hAnsi="Times New Roman" w:eastAsia="宋体" w:cs="Times New Roman"/>
          <w:sz w:val="21"/>
          <w:szCs w:val="21"/>
        </w:rPr>
        <w:fldChar w:fldCharType="end"/>
      </w:r>
      <w:bookmarkEnd w:id="6"/>
      <w:r>
        <w:rPr>
          <w:rFonts w:hint="eastAsia" w:ascii="Times New Roman" w:hAnsi="Times New Roman" w:eastAsia="宋体" w:cs="Times New Roman"/>
          <w:sz w:val="21"/>
          <w:szCs w:val="21"/>
        </w:rPr>
        <w:t xml:space="preserve"> 不同酶解时间下多肽响应情况</w:t>
      </w:r>
    </w:p>
    <w:p>
      <w:pPr>
        <w:pStyle w:val="5"/>
        <w:rPr>
          <w:rFonts w:ascii="Times New Roman" w:hAnsi="Times New Roman" w:cs="Times New Roman"/>
        </w:rPr>
      </w:pPr>
      <w:r>
        <w:rPr>
          <w:rFonts w:ascii="Times New Roman" w:hAnsi="Times New Roman" w:cs="Times New Roman"/>
        </w:rPr>
        <w:t>3.4 净化条件的选择</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酶解过程结束后，需加入适量的酸调节pH值小于2，以结束酶解反应，避免胰蛋白酶过度酶解。</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蛋白提取及酶解过程中，使用了大量的盐溶液，在进行质谱分析前，需将盐分去除掉，因此使用C</w:t>
      </w:r>
      <w:r>
        <w:rPr>
          <w:rFonts w:hint="eastAsia" w:ascii="Times New Roman" w:hAnsi="Times New Roman" w:eastAsia="宋体" w:cs="Times New Roman"/>
          <w:sz w:val="28"/>
          <w:szCs w:val="28"/>
          <w:vertAlign w:val="subscript"/>
        </w:rPr>
        <w:t>18</w:t>
      </w:r>
      <w:r>
        <w:rPr>
          <w:rFonts w:hint="eastAsia" w:ascii="Times New Roman" w:hAnsi="Times New Roman" w:eastAsia="宋体" w:cs="Times New Roman"/>
          <w:sz w:val="28"/>
          <w:szCs w:val="28"/>
        </w:rPr>
        <w:t>固相萃取柱，既能保留多肽，又可以除去多余的盐分。通过比较发现，C</w:t>
      </w:r>
      <w:r>
        <w:rPr>
          <w:rFonts w:hint="eastAsia" w:ascii="Times New Roman" w:hAnsi="Times New Roman" w:eastAsia="宋体" w:cs="Times New Roman"/>
          <w:sz w:val="28"/>
          <w:szCs w:val="28"/>
          <w:vertAlign w:val="subscript"/>
        </w:rPr>
        <w:t>18</w:t>
      </w:r>
      <w:r>
        <w:rPr>
          <w:rFonts w:hint="eastAsia" w:ascii="Times New Roman" w:hAnsi="Times New Roman" w:eastAsia="宋体" w:cs="Times New Roman"/>
          <w:sz w:val="28"/>
          <w:szCs w:val="28"/>
        </w:rPr>
        <w:t>固相萃取柱及HLB固相萃取柱，均可以满足要求。</w:t>
      </w:r>
    </w:p>
    <w:p>
      <w:pPr>
        <w:pStyle w:val="4"/>
        <w:rPr>
          <w:rFonts w:ascii="Times New Roman" w:hAnsi="Times New Roman" w:cs="Times New Roman"/>
        </w:rPr>
      </w:pPr>
      <w:r>
        <w:rPr>
          <w:rFonts w:ascii="Times New Roman" w:hAnsi="Times New Roman" w:cs="Times New Roman"/>
        </w:rPr>
        <w:t xml:space="preserve">4. </w:t>
      </w:r>
      <w:r>
        <w:rPr>
          <w:rFonts w:hint="eastAsia" w:ascii="Times New Roman" w:hAnsi="Times New Roman" w:cs="Times New Roman"/>
        </w:rPr>
        <w:t>不同类型非肉类蛋白的验证</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标准SB/T 10823-2012中规定，对常用的植物蛋白的种类进行了划分，其中大豆蛋白有3种，分别为a)蛋白质含量在50%~65%的大豆蛋白；b)蛋白质含量在65%~90%大豆浓缩蛋白：c)蛋白质含量在90%以上大豆分离蛋白；小麦蛋白有2种，分别为d)蛋白质含量在80%以上的活性和非活性小麦蛋白：e)蛋白质含量在60%以上的水溶性小麦蛋白；花生蛋白为蛋白质含量在48%以上的花生蛋白；豌豆蛋白为蛋白质含量在40%以上的豌豆蛋白。标准NY/T 2791-2015中大豆蛋白的种类有4种，多一种蛋白质含量在44%以上（含44%）的大豆组织蛋白，该类蛋白是在浓缩的过程中，通过挤压和塑形等工艺，形成具有一定结构和纤维质感的产品，使其在口感和外观上更接近肉类。</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通过市场调研以及文献查阅，不同的生产工艺制备出不同蛋白含量的大豆蛋白制品从而形成不同种类的大豆蛋白。含量在50%~65%及65%~90%大豆蛋白均是通过物理方法如溶剂萃取或加热，去除部分糖分、纤维和油脂，从而提高蛋白质含量，两者在工艺上简化程度不同，去除非蛋白物质的能力不同；蛋白质含量在90%以上大豆分离蛋白采用更彻底的分离技术，如碱溶酸沉法，去除更多的非蛋白质成分，得到高纯度的蛋白质产品。</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小麦蛋白主要包括活性小麦蛋白、非活性小麦蛋白及水溶性小麦蛋白。活性小麦蛋白与非活性小麦蛋白的区别主要是活性小麦蛋白的制备采用特定的酶解工艺，确保了活性成分的释放和保持，使最终产品中含有具有特定生物功能的多肽或蛋白质片段；非活性小麦蛋白主要通过传统的加工方法获得，这些方法会造成活性成分的部分损失。水溶性小麦蛋白具有高含量的蛋白质（60%以上），并且这些蛋白质具有很好的水溶性，在食品工业中具有更好的乳化性、起泡性、稳定性等功能性。因此水溶性小麦蛋白的制备需要特定的工艺来保持其高蛋白质含量和水溶性，如特定的提取和纯化步骤。</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依据市场需求，分别收集了不同类型的非肉类蛋白产品，并进行实验处理及分析，测定多肽的响应情况。由</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_Ref203907052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图 6</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a蛋清多肽及</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_Ref203907052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图 6</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c蛋黄多肽的测定情况显示，相对于全蛋液，蛋清粉的蛋清多肽的响应强度更高，而蛋黄多肽的响应值较低，这也与实际样品工艺特色相一致，由于蛋清粉的制备方法是将新鲜鸡蛋分离出蛋清液，经过过滤、酶解、巴氏杀菌和喷雾干燥等步骤制成，因此蛋清蛋白的含量高，蛋黄蛋白的含量较低。其中蛋清多肽444.23及670.321的响应值高，但是多肽670.321在不同样品间的差距较大，多肽497.257在不同样品间的差距较小；蛋黄多肽672.38、723.391、733.36、729.431、869.824的响应强度高，但多肽729.413的色谱峰会存在干扰。</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_Ref203907052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图 6</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b小麦多肽的测定情况显示，谷朊粉5/6的小麦多肽的响应强度相对较低，相对而言，多肽594.325、687.352、849.996的响应强度高。</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_Ref203907052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图 6</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d豌豆多肽的测定情况显示，多肽549.313/660.898/715.042的响应强度高，但是不同样品间差距较大，而其他的多肽在不同样品间的差距较小。</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_Ref203907052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图 6</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e花生多肽的测定结果显示，不同样品之间的差距较小，其中多肽628.373/635.38的响应强度高。</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_Ref203907052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图 6</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f大豆多肽的测定结果显示，大豆浓缩蛋白的测定结果最低，这与大豆蛋白的生产工艺有关，所得到的结果一致，其中多肽430.235/577.291的响应强度较高。</w:t>
      </w:r>
    </w:p>
    <w:p>
      <w:pPr>
        <w:rPr>
          <w:rFonts w:hint="eastAsia"/>
        </w:rPr>
      </w:pPr>
      <w:r>
        <w:rPr>
          <w:rFonts w:hint="eastAsia"/>
        </w:rPr>
        <w:object>
          <v:shape id="_x0000_i1025" o:spt="75" type="#_x0000_t75" style="height:144pt;width:188.85pt;" o:ole="t" filled="f" o:preferrelative="t" stroked="f" coordsize="21600,21600">
            <v:path/>
            <v:fill on="f" focussize="0,0"/>
            <v:stroke on="f" joinstyle="miter"/>
            <v:imagedata r:id="rId12" o:title=""/>
            <o:lock v:ext="edit" aspectratio="t"/>
            <w10:wrap type="none"/>
            <w10:anchorlock/>
          </v:shape>
          <o:OLEObject Type="Embed" ProgID="Origin95.Graph" ShapeID="_x0000_i1025" DrawAspect="Content" ObjectID="_1468075725" r:id="rId11">
            <o:LockedField>false</o:LockedField>
          </o:OLEObject>
        </w:object>
      </w:r>
      <w:r>
        <w:rPr>
          <w:rFonts w:hint="eastAsia"/>
        </w:rPr>
        <w:object>
          <v:shape id="_x0000_i1026" o:spt="75" type="#_x0000_t75" style="height:153.4pt;width:222.1pt;" o:ole="t" filled="f" o:preferrelative="t" stroked="f" coordsize="21600,21600">
            <v:path/>
            <v:fill on="f" focussize="0,0"/>
            <v:stroke on="f" joinstyle="miter"/>
            <v:imagedata r:id="rId14" o:title=""/>
            <o:lock v:ext="edit" aspectratio="t"/>
            <w10:wrap type="none"/>
            <w10:anchorlock/>
          </v:shape>
          <o:OLEObject Type="Embed" ProgID="Origin95.Graph" ShapeID="_x0000_i1026" DrawAspect="Content" ObjectID="_1468075726" r:id="rId13">
            <o:LockedField>false</o:LockedField>
          </o:OLEObject>
        </w:object>
      </w:r>
    </w:p>
    <w:p>
      <w:pPr>
        <w:rPr>
          <w:rFonts w:hint="eastAsia"/>
        </w:rPr>
      </w:pPr>
      <w:r>
        <w:rPr>
          <w:rFonts w:hint="eastAsia"/>
        </w:rPr>
        <w:object>
          <v:shape id="_x0000_i1027" o:spt="75" type="#_x0000_t75" style="height:199.95pt;width:415.4pt;" o:ole="t" filled="f" o:preferrelative="t" stroked="f" coordsize="21600,21600">
            <v:path/>
            <v:fill on="f" focussize="0,0"/>
            <v:stroke on="f" joinstyle="miter"/>
            <v:imagedata r:id="rId16" o:title=""/>
            <o:lock v:ext="edit" aspectratio="t"/>
            <w10:wrap type="none"/>
            <w10:anchorlock/>
          </v:shape>
          <o:OLEObject Type="Embed" ProgID="Origin95.Graph" ShapeID="_x0000_i1027" DrawAspect="Content" ObjectID="_1468075727" r:id="rId15">
            <o:LockedField>false</o:LockedField>
          </o:OLEObject>
        </w:object>
      </w:r>
    </w:p>
    <w:p>
      <w:pPr>
        <w:jc w:val="center"/>
        <w:rPr>
          <w:rFonts w:hint="eastAsia"/>
        </w:rPr>
      </w:pPr>
      <w:r>
        <w:rPr>
          <w:rFonts w:hint="eastAsia"/>
        </w:rPr>
        <w:object>
          <v:shape id="_x0000_i1028" o:spt="75" type="#_x0000_t75" style="height:200.5pt;width:387.7pt;" o:ole="t" filled="f" o:preferrelative="t" stroked="f" coordsize="21600,21600">
            <v:path/>
            <v:fill on="f" focussize="0,0"/>
            <v:stroke on="f" joinstyle="miter"/>
            <v:imagedata r:id="rId18" o:title=""/>
            <o:lock v:ext="edit" aspectratio="t"/>
            <w10:wrap type="none"/>
            <w10:anchorlock/>
          </v:shape>
          <o:OLEObject Type="Embed" ProgID="Origin95.Graph" ShapeID="_x0000_i1028" DrawAspect="Content" ObjectID="_1468075728" r:id="rId17">
            <o:LockedField>false</o:LockedField>
          </o:OLEObject>
        </w:object>
      </w:r>
    </w:p>
    <w:p>
      <w:pPr>
        <w:jc w:val="center"/>
        <w:rPr>
          <w:rFonts w:hint="eastAsia"/>
        </w:rPr>
      </w:pPr>
      <w:r>
        <w:rPr>
          <w:rFonts w:hint="eastAsia"/>
        </w:rPr>
        <w:object>
          <v:shape id="_x0000_i1029" o:spt="75" type="#_x0000_t75" style="height:197.15pt;width:342.3pt;" o:ole="t" filled="f" o:preferrelative="t" stroked="f" coordsize="21600,21600">
            <v:path/>
            <v:fill on="f" focussize="0,0"/>
            <v:stroke on="f" joinstyle="miter"/>
            <v:imagedata r:id="rId20" o:title=""/>
            <o:lock v:ext="edit" aspectratio="t"/>
            <w10:wrap type="none"/>
            <w10:anchorlock/>
          </v:shape>
          <o:OLEObject Type="Embed" ProgID="Origin95.Graph" ShapeID="_x0000_i1029" DrawAspect="Content" ObjectID="_1468075729" r:id="rId19">
            <o:LockedField>false</o:LockedField>
          </o:OLEObject>
        </w:object>
      </w:r>
    </w:p>
    <w:p>
      <w:pPr>
        <w:pStyle w:val="6"/>
        <w:rPr>
          <w:rFonts w:ascii="Times New Roman" w:hAnsi="Times New Roman" w:eastAsia="宋体" w:cs="Times New Roman"/>
          <w:szCs w:val="21"/>
        </w:rPr>
      </w:pPr>
      <w:r>
        <w:rPr>
          <w:rFonts w:hint="eastAsia" w:ascii="Times New Roman" w:hAnsi="Times New Roman" w:eastAsia="宋体" w:cs="Times New Roman"/>
          <w:szCs w:val="21"/>
        </w:rPr>
        <w:object>
          <v:shape id="_x0000_i1030" o:spt="75" type="#_x0000_t75" style="height:225.4pt;width:476.85pt;" o:ole="t" filled="f" o:preferrelative="t" stroked="f" coordsize="21600,21600">
            <v:path/>
            <v:fill on="f" focussize="0,0"/>
            <v:stroke on="f" joinstyle="miter"/>
            <v:imagedata r:id="rId22" o:title=""/>
            <o:lock v:ext="edit" aspectratio="t"/>
            <w10:wrap type="none"/>
            <w10:anchorlock/>
          </v:shape>
          <o:OLEObject Type="Embed" ProgID="Origin95.Graph" ShapeID="_x0000_i1030" DrawAspect="Content" ObjectID="_1468075730" r:id="rId21">
            <o:LockedField>false</o:LockedField>
          </o:OLEObject>
        </w:object>
      </w:r>
    </w:p>
    <w:p>
      <w:pPr>
        <w:pStyle w:val="6"/>
        <w:jc w:val="center"/>
        <w:rPr>
          <w:rFonts w:ascii="Times New Roman" w:hAnsi="Times New Roman" w:eastAsia="宋体" w:cs="Times New Roman"/>
          <w:szCs w:val="21"/>
        </w:rPr>
      </w:pPr>
      <w:bookmarkStart w:id="7" w:name="_Ref203907052"/>
      <w:r>
        <w:rPr>
          <w:rFonts w:hint="eastAsia" w:ascii="Times New Roman" w:hAnsi="Times New Roman" w:eastAsia="宋体" w:cs="Times New Roman"/>
          <w:szCs w:val="21"/>
        </w:rPr>
        <w:t xml:space="preserve">图 </w:t>
      </w:r>
      <w:r>
        <w:rPr>
          <w:rFonts w:hint="eastAsia" w:ascii="Times New Roman" w:hAnsi="Times New Roman" w:eastAsia="宋体" w:cs="Times New Roman"/>
          <w:szCs w:val="21"/>
        </w:rPr>
        <w:fldChar w:fldCharType="begin"/>
      </w:r>
      <w:r>
        <w:rPr>
          <w:rFonts w:hint="eastAsia" w:ascii="Times New Roman" w:hAnsi="Times New Roman" w:eastAsia="宋体" w:cs="Times New Roman"/>
          <w:szCs w:val="21"/>
        </w:rPr>
        <w:instrText xml:space="preserve"> SEQ 图 \* ARABIC </w:instrText>
      </w:r>
      <w:r>
        <w:rPr>
          <w:rFonts w:hint="eastAsia" w:ascii="Times New Roman" w:hAnsi="Times New Roman" w:eastAsia="宋体" w:cs="Times New Roman"/>
          <w:szCs w:val="21"/>
        </w:rPr>
        <w:fldChar w:fldCharType="separate"/>
      </w:r>
      <w:r>
        <w:rPr>
          <w:rFonts w:hint="eastAsia" w:ascii="Times New Roman" w:hAnsi="Times New Roman" w:eastAsia="宋体" w:cs="Times New Roman"/>
          <w:szCs w:val="21"/>
        </w:rPr>
        <w:t>6</w:t>
      </w:r>
      <w:r>
        <w:rPr>
          <w:rFonts w:hint="eastAsia" w:ascii="Times New Roman" w:hAnsi="Times New Roman" w:eastAsia="宋体" w:cs="Times New Roman"/>
          <w:szCs w:val="21"/>
        </w:rPr>
        <w:fldChar w:fldCharType="end"/>
      </w:r>
      <w:bookmarkEnd w:id="7"/>
      <w:r>
        <w:rPr>
          <w:rFonts w:hint="eastAsia" w:ascii="Times New Roman" w:hAnsi="Times New Roman" w:eastAsia="宋体" w:cs="Times New Roman"/>
          <w:szCs w:val="21"/>
        </w:rPr>
        <w:t>不同类型非肉类蛋白的多肽响应情况</w:t>
      </w:r>
    </w:p>
    <w:p>
      <w:pPr>
        <w:pStyle w:val="4"/>
        <w:rPr>
          <w:rFonts w:ascii="Times New Roman" w:hAnsi="Times New Roman" w:cs="Times New Roman"/>
        </w:rPr>
      </w:pPr>
      <w:r>
        <w:rPr>
          <w:rFonts w:hint="eastAsia" w:ascii="Times New Roman" w:hAnsi="Times New Roman" w:cs="Times New Roman"/>
        </w:rPr>
        <w:t>5</w:t>
      </w:r>
      <w:r>
        <w:rPr>
          <w:rFonts w:ascii="Times New Roman" w:hAnsi="Times New Roman" w:cs="Times New Roman"/>
        </w:rPr>
        <w:t xml:space="preserve">. </w:t>
      </w:r>
      <w:r>
        <w:rPr>
          <w:rFonts w:hint="eastAsia" w:ascii="Times New Roman" w:hAnsi="Times New Roman" w:cs="Times New Roman"/>
        </w:rPr>
        <w:t>定性条件的确定</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以鸡肉为主要原料，按照1%比例加入植物蛋白（大豆蛋白、花生蛋白、豌豆蛋白、小麦蛋白，后面均简述为植物蛋白）及鸡蛋液，制备了3种工艺的模拟畜禽肉制品。其中主要原料选用鸡肉，主要是由于在前期研究中，植物蛋白之间没有相互干扰，而鸡蛋液与鸡肉之间会存在干扰蛋白，因此选用鸡肉为主要原料可以进一步评判方法的抗干扰能力；每种非肉类蛋白选用蛋白含量低的样品。模拟样品的3个工艺，分别是水煮工艺（在沸水浴中煮30 min）、高压灭菌工艺（121℃高压环境下30 min）、油炸工艺（在热油中炸至样品表面金黄）。酱、卤、熏、烧、烤、蒸、煮、炸是肉制品常见的加工工艺，其中水煮工艺代表以水为介质的加工工艺，例如酱卤肉制品类；高压灭菌工艺代表以水蒸气为介质的加工工艺，例如熏煮香肠火腿类，如火腿肠等；油炸工艺代表以油为介质的加工工艺以及高温直接作用到肉的表面的熏烧烤工艺，例如熏烧烤类、煎炸类等。样品制备过程中采用更为严苛的温度及时间，对蛋白或多肽的破坏性更强，由此可以进一步评判方法的稳定性。</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通过对上述3个模拟样品中非肉类蛋白的响应强度分析，对初步筛选的物种专属性多肽进一步筛选，依据响应强度、抗干扰性、稳定性，最终每个物种确定了2条多肽，每条多肽包含3对离子信息，如</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_Ref203815879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 xml:space="preserve">表 </w:t>
      </w:r>
      <w:r>
        <w:rPr>
          <w:rFonts w:ascii="Times New Roman" w:hAnsi="Times New Roman" w:eastAsia="宋体" w:cs="Times New Roman"/>
          <w:sz w:val="28"/>
          <w:szCs w:val="28"/>
        </w:rPr>
        <w:t>2</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所示。其定性要求为每个非肉类蛋白的2条多肽均应检出，每条多肽下的3个子离子均应检出，且在相同条件下，试样溶液和对照试验溶液中待测组分的色谱峰保留时间偏差为</w:t>
      </w:r>
      <w:r>
        <w:rPr>
          <w:rFonts w:ascii="Times New Roman" w:hAnsi="Times New Roman" w:eastAsia="宋体" w:cs="Times New Roman"/>
          <w:sz w:val="28"/>
          <w:szCs w:val="28"/>
        </w:rPr>
        <w:t>±</w:t>
      </w:r>
      <w:r>
        <w:rPr>
          <w:rFonts w:hint="eastAsia" w:ascii="Times New Roman" w:hAnsi="Times New Roman" w:eastAsia="宋体" w:cs="Times New Roman"/>
          <w:sz w:val="28"/>
          <w:szCs w:val="28"/>
        </w:rPr>
        <w:t>0.1 min以内。</w:t>
      </w:r>
    </w:p>
    <w:p>
      <w:pPr>
        <w:pStyle w:val="6"/>
        <w:jc w:val="center"/>
        <w:rPr>
          <w:rFonts w:ascii="Times New Roman" w:hAnsi="Times New Roman" w:eastAsia="宋体" w:cs="Times New Roman"/>
          <w:sz w:val="21"/>
          <w:szCs w:val="21"/>
        </w:rPr>
      </w:pPr>
      <w:bookmarkStart w:id="8" w:name="_Ref203815879"/>
      <w:r>
        <w:rPr>
          <w:rFonts w:hint="eastAsia" w:ascii="Times New Roman" w:hAnsi="Times New Roman" w:eastAsia="宋体" w:cs="Times New Roman"/>
          <w:sz w:val="21"/>
          <w:szCs w:val="21"/>
        </w:rPr>
        <w:t xml:space="preserve">表 </w:t>
      </w:r>
      <w:r>
        <w:rPr>
          <w:rFonts w:hint="eastAsia" w:ascii="Times New Roman" w:hAnsi="Times New Roman" w:eastAsia="宋体" w:cs="Times New Roman"/>
          <w:sz w:val="21"/>
          <w:szCs w:val="21"/>
        </w:rPr>
        <w:fldChar w:fldCharType="begin"/>
      </w:r>
      <w:r>
        <w:rPr>
          <w:rFonts w:hint="eastAsia" w:ascii="Times New Roman" w:hAnsi="Times New Roman" w:eastAsia="宋体" w:cs="Times New Roman"/>
          <w:sz w:val="21"/>
          <w:szCs w:val="21"/>
        </w:rPr>
        <w:instrText xml:space="preserve"> SEQ 表 \* ARABIC </w:instrText>
      </w:r>
      <w:r>
        <w:rPr>
          <w:rFonts w:hint="eastAsia" w:ascii="Times New Roman" w:hAnsi="Times New Roman" w:eastAsia="宋体" w:cs="Times New Roman"/>
          <w:sz w:val="21"/>
          <w:szCs w:val="21"/>
        </w:rPr>
        <w:fldChar w:fldCharType="separate"/>
      </w:r>
      <w:r>
        <w:rPr>
          <w:rFonts w:ascii="Times New Roman" w:hAnsi="Times New Roman" w:eastAsia="宋体" w:cs="Times New Roman"/>
          <w:sz w:val="21"/>
          <w:szCs w:val="21"/>
        </w:rPr>
        <w:t>2</w:t>
      </w:r>
      <w:r>
        <w:rPr>
          <w:rFonts w:hint="eastAsia" w:ascii="Times New Roman" w:hAnsi="Times New Roman" w:eastAsia="宋体" w:cs="Times New Roman"/>
          <w:sz w:val="21"/>
          <w:szCs w:val="21"/>
        </w:rPr>
        <w:fldChar w:fldCharType="end"/>
      </w:r>
      <w:bookmarkEnd w:id="8"/>
      <w:r>
        <w:rPr>
          <w:rFonts w:hint="eastAsia" w:ascii="Times New Roman" w:hAnsi="Times New Roman" w:eastAsia="宋体" w:cs="Times New Roman"/>
          <w:sz w:val="21"/>
          <w:szCs w:val="21"/>
        </w:rPr>
        <w:t>非肉蛋白成分特异性多肽信息</w:t>
      </w:r>
    </w:p>
    <w:tbl>
      <w:tblPr>
        <w:tblStyle w:val="17"/>
        <w:tblW w:w="8705" w:type="dxa"/>
        <w:jc w:val="center"/>
        <w:tblBorders>
          <w:top w:val="single" w:color="7E7E7E" w:themeColor="text1" w:themeTint="80" w:sz="4" w:space="0"/>
          <w:left w:val="none" w:color="auto" w:sz="0" w:space="0"/>
          <w:bottom w:val="single" w:color="7E7E7E" w:themeColor="text1" w:themeTint="80" w:sz="4"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70"/>
        <w:gridCol w:w="747"/>
        <w:gridCol w:w="3285"/>
        <w:gridCol w:w="964"/>
        <w:gridCol w:w="1862"/>
        <w:gridCol w:w="1077"/>
      </w:tblGrid>
      <w:tr>
        <w:trPr>
          <w:trHeight w:val="20" w:hRule="atLeast"/>
          <w:jc w:val="center"/>
        </w:trPr>
        <w:tc>
          <w:tcPr>
            <w:tcW w:w="770" w:type="dxa"/>
            <w:tcBorders>
              <w:bottom w:val="single" w:color="7E7E7E" w:themeColor="text1" w:themeTint="80" w:sz="4" w:space="0"/>
              <w:insideH w:val="single" w:sz="4" w:space="0"/>
            </w:tcBorders>
            <w:vAlign w:val="center"/>
          </w:tcPr>
          <w:p>
            <w:pPr>
              <w:widowControl/>
              <w:jc w:val="center"/>
              <w:rPr>
                <w:rFonts w:ascii="Times New Roman" w:hAnsi="Times New Roman" w:eastAsia="宋体" w:cs="Times New Roman"/>
                <w:b/>
                <w:bCs/>
                <w:color w:val="000000" w:themeColor="text1"/>
                <w:kern w:val="24"/>
                <w:sz w:val="20"/>
                <w:szCs w:val="20"/>
                <w14:textFill>
                  <w14:solidFill>
                    <w14:schemeClr w14:val="tx1"/>
                  </w14:solidFill>
                </w14:textFill>
              </w:rPr>
            </w:pPr>
            <w:r>
              <w:rPr>
                <w:rFonts w:hint="eastAsia" w:ascii="Times New Roman" w:hAnsi="Times New Roman" w:eastAsia="宋体" w:cs="Times New Roman"/>
                <w:b/>
                <w:bCs/>
                <w:color w:val="000000" w:themeColor="text1"/>
                <w:kern w:val="24"/>
                <w:sz w:val="20"/>
                <w:szCs w:val="20"/>
                <w14:textFill>
                  <w14:solidFill>
                    <w14:schemeClr w14:val="tx1"/>
                  </w14:solidFill>
                </w14:textFill>
              </w:rPr>
              <w:t>物种</w:t>
            </w:r>
          </w:p>
        </w:tc>
        <w:tc>
          <w:tcPr>
            <w:tcW w:w="747" w:type="dxa"/>
            <w:tcBorders>
              <w:bottom w:val="single" w:color="7E7E7E" w:themeColor="text1" w:themeTint="80" w:sz="4" w:space="0"/>
              <w:insideH w:val="single" w:sz="4" w:space="0"/>
            </w:tcBorders>
            <w:vAlign w:val="center"/>
          </w:tcPr>
          <w:p>
            <w:pPr>
              <w:widowControl/>
              <w:jc w:val="center"/>
              <w:rPr>
                <w:rFonts w:ascii="Times New Roman" w:hAnsi="Times New Roman" w:eastAsia="宋体" w:cs="Times New Roman"/>
                <w:b/>
                <w:bCs/>
                <w:color w:val="000000" w:themeColor="text1"/>
                <w:kern w:val="24"/>
                <w:sz w:val="20"/>
                <w:szCs w:val="20"/>
                <w14:textFill>
                  <w14:solidFill>
                    <w14:schemeClr w14:val="tx1"/>
                  </w14:solidFill>
                </w14:textFill>
              </w:rPr>
            </w:pPr>
            <w:r>
              <w:rPr>
                <w:rFonts w:hint="eastAsia" w:ascii="Times New Roman" w:hAnsi="Times New Roman" w:eastAsia="宋体" w:cs="Times New Roman"/>
                <w:b/>
                <w:bCs/>
                <w:color w:val="000000" w:themeColor="text1"/>
                <w:kern w:val="24"/>
                <w:sz w:val="20"/>
                <w:szCs w:val="20"/>
                <w14:textFill>
                  <w14:solidFill>
                    <w14:schemeClr w14:val="tx1"/>
                  </w14:solidFill>
                </w14:textFill>
              </w:rPr>
              <w:t>多肽</w:t>
            </w:r>
          </w:p>
        </w:tc>
        <w:tc>
          <w:tcPr>
            <w:tcW w:w="3285" w:type="dxa"/>
            <w:tcBorders>
              <w:bottom w:val="single" w:color="7E7E7E" w:themeColor="text1" w:themeTint="80" w:sz="4" w:space="0"/>
              <w:insideH w:val="single" w:sz="4" w:space="0"/>
            </w:tcBorders>
            <w:vAlign w:val="center"/>
          </w:tcPr>
          <w:p>
            <w:pPr>
              <w:widowControl/>
              <w:jc w:val="center"/>
              <w:rPr>
                <w:rFonts w:ascii="Times New Roman" w:hAnsi="Times New Roman" w:eastAsia="宋体" w:cs="Times New Roman"/>
                <w:b/>
                <w:bCs/>
                <w:color w:val="000000" w:themeColor="text1"/>
                <w:kern w:val="24"/>
                <w:sz w:val="20"/>
                <w:szCs w:val="20"/>
                <w14:textFill>
                  <w14:solidFill>
                    <w14:schemeClr w14:val="tx1"/>
                  </w14:solidFill>
                </w14:textFill>
              </w:rPr>
            </w:pPr>
            <w:r>
              <w:rPr>
                <w:rFonts w:hint="eastAsia" w:ascii="Times New Roman" w:hAnsi="Times New Roman" w:eastAsia="宋体" w:cs="Times New Roman"/>
                <w:b/>
                <w:bCs/>
                <w:color w:val="000000" w:themeColor="text1"/>
                <w:kern w:val="24"/>
                <w:sz w:val="20"/>
                <w:szCs w:val="20"/>
                <w14:textFill>
                  <w14:solidFill>
                    <w14:schemeClr w14:val="tx1"/>
                  </w14:solidFill>
                </w14:textFill>
              </w:rPr>
              <w:t>多肽序列</w:t>
            </w:r>
          </w:p>
        </w:tc>
        <w:tc>
          <w:tcPr>
            <w:tcW w:w="964" w:type="dxa"/>
            <w:tcBorders>
              <w:bottom w:val="single" w:color="7E7E7E" w:themeColor="text1" w:themeTint="80" w:sz="4" w:space="0"/>
              <w:insideH w:val="single" w:sz="4" w:space="0"/>
            </w:tcBorders>
            <w:vAlign w:val="center"/>
          </w:tcPr>
          <w:p>
            <w:pPr>
              <w:widowControl/>
              <w:jc w:val="center"/>
              <w:rPr>
                <w:rFonts w:ascii="Times New Roman" w:hAnsi="Times New Roman" w:eastAsia="宋体" w:cs="Times New Roman"/>
                <w:b/>
                <w:bCs/>
                <w:color w:val="000000" w:themeColor="text1"/>
                <w:kern w:val="24"/>
                <w:sz w:val="20"/>
                <w:szCs w:val="20"/>
                <w14:textFill>
                  <w14:solidFill>
                    <w14:schemeClr w14:val="tx1"/>
                  </w14:solidFill>
                </w14:textFill>
              </w:rPr>
            </w:pPr>
            <w:r>
              <w:rPr>
                <w:rFonts w:hint="eastAsia" w:ascii="Times New Roman" w:hAnsi="Times New Roman" w:eastAsia="宋体" w:cs="Times New Roman"/>
                <w:b/>
                <w:bCs/>
                <w:color w:val="000000" w:themeColor="text1"/>
                <w:kern w:val="24"/>
                <w:sz w:val="20"/>
                <w:szCs w:val="20"/>
                <w14:textFill>
                  <w14:solidFill>
                    <w14:schemeClr w14:val="tx1"/>
                  </w14:solidFill>
                </w14:textFill>
              </w:rPr>
              <w:t>母离子</w:t>
            </w:r>
          </w:p>
        </w:tc>
        <w:tc>
          <w:tcPr>
            <w:tcW w:w="1862" w:type="dxa"/>
            <w:tcBorders>
              <w:bottom w:val="single" w:color="7E7E7E" w:themeColor="text1" w:themeTint="80" w:sz="4" w:space="0"/>
              <w:insideH w:val="single" w:sz="4" w:space="0"/>
            </w:tcBorders>
            <w:vAlign w:val="center"/>
          </w:tcPr>
          <w:p>
            <w:pPr>
              <w:widowControl/>
              <w:jc w:val="center"/>
              <w:rPr>
                <w:rFonts w:ascii="Times New Roman" w:hAnsi="Times New Roman" w:eastAsia="宋体" w:cs="Times New Roman"/>
                <w:b/>
                <w:bCs/>
                <w:color w:val="000000" w:themeColor="text1"/>
                <w:kern w:val="24"/>
                <w:sz w:val="20"/>
                <w:szCs w:val="20"/>
                <w14:textFill>
                  <w14:solidFill>
                    <w14:schemeClr w14:val="tx1"/>
                  </w14:solidFill>
                </w14:textFill>
              </w:rPr>
            </w:pPr>
            <w:r>
              <w:rPr>
                <w:rFonts w:hint="eastAsia" w:ascii="Times New Roman" w:hAnsi="Times New Roman" w:eastAsia="宋体" w:cs="Times New Roman"/>
                <w:b/>
                <w:bCs/>
                <w:color w:val="000000" w:themeColor="text1"/>
                <w:kern w:val="24"/>
                <w:sz w:val="20"/>
                <w:szCs w:val="20"/>
                <w14:textFill>
                  <w14:solidFill>
                    <w14:schemeClr w14:val="tx1"/>
                  </w14:solidFill>
                </w14:textFill>
              </w:rPr>
              <w:t>子离子</w:t>
            </w:r>
          </w:p>
        </w:tc>
        <w:tc>
          <w:tcPr>
            <w:tcW w:w="1077" w:type="dxa"/>
            <w:tcBorders>
              <w:bottom w:val="single" w:color="7E7E7E" w:themeColor="text1" w:themeTint="80" w:sz="4" w:space="0"/>
              <w:insideH w:val="single" w:sz="4" w:space="0"/>
            </w:tcBorders>
            <w:vAlign w:val="center"/>
          </w:tcPr>
          <w:p>
            <w:pPr>
              <w:widowControl/>
              <w:jc w:val="center"/>
              <w:rPr>
                <w:rFonts w:ascii="Times New Roman" w:hAnsi="Times New Roman" w:eastAsia="宋体" w:cs="Times New Roman"/>
                <w:b/>
                <w:bCs/>
                <w:color w:val="000000" w:themeColor="text1"/>
                <w:kern w:val="24"/>
                <w:sz w:val="20"/>
                <w:szCs w:val="20"/>
                <w14:textFill>
                  <w14:solidFill>
                    <w14:schemeClr w14:val="tx1"/>
                  </w14:solidFill>
                </w14:textFill>
              </w:rPr>
            </w:pPr>
            <w:r>
              <w:rPr>
                <w:rFonts w:hint="eastAsia" w:ascii="Times New Roman" w:hAnsi="Times New Roman" w:eastAsia="宋体" w:cs="Times New Roman"/>
                <w:b/>
                <w:bCs/>
                <w:color w:val="000000" w:themeColor="text1"/>
                <w:kern w:val="24"/>
                <w:sz w:val="20"/>
                <w:szCs w:val="20"/>
                <w14:textFill>
                  <w14:solidFill>
                    <w14:schemeClr w14:val="tx1"/>
                  </w14:solidFill>
                </w14:textFill>
              </w:rPr>
              <w:t>碰撞能量（eV）</w:t>
            </w:r>
          </w:p>
        </w:tc>
      </w:tr>
      <w:tr>
        <w:trPr>
          <w:trHeight w:val="20" w:hRule="atLeast"/>
          <w:jc w:val="center"/>
        </w:trPr>
        <w:tc>
          <w:tcPr>
            <w:tcW w:w="770" w:type="dxa"/>
            <w:vMerge w:val="restart"/>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b w:val="0"/>
                <w:bCs w:val="0"/>
                <w:kern w:val="0"/>
                <w:szCs w:val="21"/>
              </w:rPr>
            </w:pPr>
            <w:r>
              <w:rPr>
                <w:rFonts w:ascii="Times New Roman" w:hAnsi="Times New Roman" w:eastAsia="宋体" w:cs="Times New Roman"/>
                <w:b/>
                <w:bCs/>
                <w:color w:val="000000" w:themeColor="text1"/>
                <w:kern w:val="24"/>
                <w:szCs w:val="21"/>
                <w14:textFill>
                  <w14:solidFill>
                    <w14:schemeClr w14:val="tx1"/>
                  </w14:solidFill>
                </w14:textFill>
              </w:rPr>
              <w:t>大豆</w:t>
            </w:r>
          </w:p>
        </w:tc>
        <w:tc>
          <w:tcPr>
            <w:tcW w:w="74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Pep1</w:t>
            </w:r>
          </w:p>
        </w:tc>
        <w:tc>
          <w:tcPr>
            <w:tcW w:w="3285"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LQSGDALR</w:t>
            </w:r>
          </w:p>
        </w:tc>
        <w:tc>
          <w:tcPr>
            <w:tcW w:w="964"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430.2</w:t>
            </w:r>
          </w:p>
        </w:tc>
        <w:tc>
          <w:tcPr>
            <w:tcW w:w="1862"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359.2/618.3/729.3</w:t>
            </w:r>
          </w:p>
        </w:tc>
        <w:tc>
          <w:tcPr>
            <w:tcW w:w="107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20</w:t>
            </w:r>
          </w:p>
        </w:tc>
      </w:tr>
      <w:tr>
        <w:trPr>
          <w:trHeight w:val="20" w:hRule="atLeast"/>
          <w:jc w:val="center"/>
        </w:trPr>
        <w:tc>
          <w:tcPr>
            <w:tcW w:w="770" w:type="dxa"/>
            <w:vMerge w:val="continue"/>
            <w:vAlign w:val="center"/>
          </w:tcPr>
          <w:p>
            <w:pPr>
              <w:widowControl/>
              <w:jc w:val="center"/>
              <w:rPr>
                <w:rFonts w:ascii="Times New Roman" w:hAnsi="Times New Roman" w:eastAsia="宋体" w:cs="Times New Roman"/>
                <w:b w:val="0"/>
                <w:bCs w:val="0"/>
                <w:kern w:val="0"/>
                <w:szCs w:val="21"/>
              </w:rPr>
            </w:pPr>
          </w:p>
        </w:tc>
        <w:tc>
          <w:tcPr>
            <w:tcW w:w="74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Pep2</w:t>
            </w:r>
          </w:p>
        </w:tc>
        <w:tc>
          <w:tcPr>
            <w:tcW w:w="3285"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NILEASYDTK</w:t>
            </w:r>
          </w:p>
        </w:tc>
        <w:tc>
          <w:tcPr>
            <w:tcW w:w="964"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577.3</w:t>
            </w:r>
          </w:p>
        </w:tc>
        <w:tc>
          <w:tcPr>
            <w:tcW w:w="1862"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926.4/813.4/684.3</w:t>
            </w:r>
          </w:p>
        </w:tc>
        <w:tc>
          <w:tcPr>
            <w:tcW w:w="107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24</w:t>
            </w:r>
          </w:p>
        </w:tc>
      </w:tr>
      <w:tr>
        <w:trPr>
          <w:trHeight w:val="20" w:hRule="atLeast"/>
          <w:jc w:val="center"/>
        </w:trPr>
        <w:tc>
          <w:tcPr>
            <w:tcW w:w="770" w:type="dxa"/>
            <w:vMerge w:val="restart"/>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b w:val="0"/>
                <w:bCs w:val="0"/>
                <w:kern w:val="0"/>
                <w:szCs w:val="21"/>
              </w:rPr>
            </w:pPr>
            <w:r>
              <w:rPr>
                <w:rFonts w:ascii="Times New Roman" w:hAnsi="Times New Roman" w:eastAsia="宋体" w:cs="Times New Roman"/>
                <w:b/>
                <w:bCs/>
                <w:color w:val="000000" w:themeColor="text1"/>
                <w:kern w:val="24"/>
                <w:szCs w:val="21"/>
                <w14:textFill>
                  <w14:solidFill>
                    <w14:schemeClr w14:val="tx1"/>
                  </w14:solidFill>
                </w14:textFill>
              </w:rPr>
              <w:t>豌豆</w:t>
            </w:r>
          </w:p>
        </w:tc>
        <w:tc>
          <w:tcPr>
            <w:tcW w:w="74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Pep3</w:t>
            </w:r>
          </w:p>
        </w:tc>
        <w:tc>
          <w:tcPr>
            <w:tcW w:w="3285"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ELAFPGSSHEVDR</w:t>
            </w:r>
          </w:p>
        </w:tc>
        <w:tc>
          <w:tcPr>
            <w:tcW w:w="964"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481.9</w:t>
            </w:r>
          </w:p>
        </w:tc>
        <w:tc>
          <w:tcPr>
            <w:tcW w:w="1862"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328.5/443.7/492.2</w:t>
            </w:r>
          </w:p>
        </w:tc>
        <w:tc>
          <w:tcPr>
            <w:tcW w:w="107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21</w:t>
            </w:r>
          </w:p>
        </w:tc>
      </w:tr>
      <w:tr>
        <w:trPr>
          <w:trHeight w:val="20" w:hRule="atLeast"/>
          <w:jc w:val="center"/>
        </w:trPr>
        <w:tc>
          <w:tcPr>
            <w:tcW w:w="770" w:type="dxa"/>
            <w:vMerge w:val="continue"/>
            <w:vAlign w:val="center"/>
          </w:tcPr>
          <w:p>
            <w:pPr>
              <w:widowControl/>
              <w:jc w:val="center"/>
              <w:rPr>
                <w:rFonts w:ascii="Times New Roman" w:hAnsi="Times New Roman" w:eastAsia="宋体" w:cs="Times New Roman"/>
                <w:b w:val="0"/>
                <w:bCs w:val="0"/>
                <w:kern w:val="0"/>
                <w:szCs w:val="21"/>
              </w:rPr>
            </w:pPr>
          </w:p>
        </w:tc>
        <w:tc>
          <w:tcPr>
            <w:tcW w:w="74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Pep4</w:t>
            </w:r>
          </w:p>
        </w:tc>
        <w:tc>
          <w:tcPr>
            <w:tcW w:w="3285"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NILEASFNTDYEEIEK</w:t>
            </w:r>
          </w:p>
        </w:tc>
        <w:tc>
          <w:tcPr>
            <w:tcW w:w="964"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957.9</w:t>
            </w:r>
          </w:p>
        </w:tc>
        <w:tc>
          <w:tcPr>
            <w:tcW w:w="1862"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228.1/341.2/1140.5</w:t>
            </w:r>
          </w:p>
        </w:tc>
        <w:tc>
          <w:tcPr>
            <w:tcW w:w="107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31</w:t>
            </w:r>
          </w:p>
        </w:tc>
      </w:tr>
      <w:tr>
        <w:trPr>
          <w:trHeight w:val="20" w:hRule="atLeast"/>
          <w:jc w:val="center"/>
        </w:trPr>
        <w:tc>
          <w:tcPr>
            <w:tcW w:w="770" w:type="dxa"/>
            <w:vMerge w:val="restart"/>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b w:val="0"/>
                <w:bCs w:val="0"/>
                <w:kern w:val="0"/>
                <w:szCs w:val="21"/>
              </w:rPr>
            </w:pPr>
            <w:r>
              <w:rPr>
                <w:rFonts w:ascii="Times New Roman" w:hAnsi="Times New Roman" w:eastAsia="宋体" w:cs="Times New Roman"/>
                <w:b/>
                <w:bCs/>
                <w:color w:val="000000" w:themeColor="text1"/>
                <w:kern w:val="24"/>
                <w:szCs w:val="21"/>
                <w14:textFill>
                  <w14:solidFill>
                    <w14:schemeClr w14:val="tx1"/>
                  </w14:solidFill>
                </w14:textFill>
              </w:rPr>
              <w:t>花生</w:t>
            </w:r>
          </w:p>
        </w:tc>
        <w:tc>
          <w:tcPr>
            <w:tcW w:w="74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Pep5</w:t>
            </w:r>
          </w:p>
        </w:tc>
        <w:tc>
          <w:tcPr>
            <w:tcW w:w="3285"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TANDLNLLILR</w:t>
            </w:r>
          </w:p>
        </w:tc>
        <w:tc>
          <w:tcPr>
            <w:tcW w:w="964"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628.4</w:t>
            </w:r>
          </w:p>
        </w:tc>
        <w:tc>
          <w:tcPr>
            <w:tcW w:w="1862"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514.4/741.5/1083.6</w:t>
            </w:r>
          </w:p>
        </w:tc>
        <w:tc>
          <w:tcPr>
            <w:tcW w:w="107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25</w:t>
            </w:r>
          </w:p>
        </w:tc>
      </w:tr>
      <w:tr>
        <w:trPr>
          <w:trHeight w:val="20" w:hRule="atLeast"/>
          <w:jc w:val="center"/>
        </w:trPr>
        <w:tc>
          <w:tcPr>
            <w:tcW w:w="770" w:type="dxa"/>
            <w:vMerge w:val="continue"/>
            <w:vAlign w:val="center"/>
          </w:tcPr>
          <w:p>
            <w:pPr>
              <w:widowControl/>
              <w:jc w:val="center"/>
              <w:rPr>
                <w:rFonts w:ascii="Times New Roman" w:hAnsi="Times New Roman" w:eastAsia="宋体" w:cs="Times New Roman"/>
                <w:b w:val="0"/>
                <w:bCs w:val="0"/>
                <w:kern w:val="0"/>
                <w:szCs w:val="21"/>
              </w:rPr>
            </w:pPr>
          </w:p>
        </w:tc>
        <w:tc>
          <w:tcPr>
            <w:tcW w:w="74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Pep6</w:t>
            </w:r>
          </w:p>
        </w:tc>
        <w:tc>
          <w:tcPr>
            <w:tcW w:w="3285"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TANELNLLILR</w:t>
            </w:r>
          </w:p>
        </w:tc>
        <w:tc>
          <w:tcPr>
            <w:tcW w:w="964"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635.4</w:t>
            </w:r>
          </w:p>
        </w:tc>
        <w:tc>
          <w:tcPr>
            <w:tcW w:w="1862"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741.5/854.6/1097.7</w:t>
            </w:r>
          </w:p>
        </w:tc>
        <w:tc>
          <w:tcPr>
            <w:tcW w:w="107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25</w:t>
            </w:r>
          </w:p>
        </w:tc>
      </w:tr>
      <w:tr>
        <w:trPr>
          <w:trHeight w:val="20" w:hRule="atLeast"/>
          <w:jc w:val="center"/>
        </w:trPr>
        <w:tc>
          <w:tcPr>
            <w:tcW w:w="770" w:type="dxa"/>
            <w:vMerge w:val="restart"/>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b w:val="0"/>
                <w:bCs w:val="0"/>
                <w:kern w:val="0"/>
                <w:szCs w:val="21"/>
              </w:rPr>
            </w:pPr>
            <w:r>
              <w:rPr>
                <w:rFonts w:ascii="Times New Roman" w:hAnsi="Times New Roman" w:eastAsia="宋体" w:cs="Times New Roman"/>
                <w:b/>
                <w:bCs/>
                <w:color w:val="000000" w:themeColor="text1"/>
                <w:kern w:val="24"/>
                <w:szCs w:val="21"/>
                <w14:textFill>
                  <w14:solidFill>
                    <w14:schemeClr w14:val="tx1"/>
                  </w14:solidFill>
                </w14:textFill>
              </w:rPr>
              <w:t>小麦</w:t>
            </w:r>
          </w:p>
        </w:tc>
        <w:tc>
          <w:tcPr>
            <w:tcW w:w="74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Pep7</w:t>
            </w:r>
          </w:p>
        </w:tc>
        <w:tc>
          <w:tcPr>
            <w:tcW w:w="3285"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APFASIVAGIGGQ</w:t>
            </w:r>
          </w:p>
        </w:tc>
        <w:tc>
          <w:tcPr>
            <w:tcW w:w="964"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594.3</w:t>
            </w:r>
          </w:p>
        </w:tc>
        <w:tc>
          <w:tcPr>
            <w:tcW w:w="1862"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204.1/261.1/316.2</w:t>
            </w:r>
          </w:p>
        </w:tc>
        <w:tc>
          <w:tcPr>
            <w:tcW w:w="107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24</w:t>
            </w:r>
          </w:p>
        </w:tc>
      </w:tr>
      <w:tr>
        <w:trPr>
          <w:trHeight w:val="20" w:hRule="atLeast"/>
          <w:jc w:val="center"/>
        </w:trPr>
        <w:tc>
          <w:tcPr>
            <w:tcW w:w="770" w:type="dxa"/>
            <w:vMerge w:val="continue"/>
            <w:vAlign w:val="center"/>
          </w:tcPr>
          <w:p>
            <w:pPr>
              <w:widowControl/>
              <w:jc w:val="center"/>
              <w:rPr>
                <w:rFonts w:ascii="Times New Roman" w:hAnsi="Times New Roman" w:eastAsia="宋体" w:cs="Times New Roman"/>
                <w:b w:val="0"/>
                <w:bCs w:val="0"/>
                <w:kern w:val="0"/>
                <w:szCs w:val="21"/>
              </w:rPr>
            </w:pPr>
          </w:p>
        </w:tc>
        <w:tc>
          <w:tcPr>
            <w:tcW w:w="74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Pep8</w:t>
            </w:r>
          </w:p>
        </w:tc>
        <w:tc>
          <w:tcPr>
            <w:tcW w:w="3285"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VFLQQQCSPVAMPQSLAR</w:t>
            </w:r>
          </w:p>
        </w:tc>
        <w:tc>
          <w:tcPr>
            <w:tcW w:w="964"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687.3</w:t>
            </w:r>
          </w:p>
        </w:tc>
        <w:tc>
          <w:tcPr>
            <w:tcW w:w="1862"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336.2/671.4/873.5</w:t>
            </w:r>
          </w:p>
        </w:tc>
        <w:tc>
          <w:tcPr>
            <w:tcW w:w="107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26</w:t>
            </w:r>
          </w:p>
        </w:tc>
      </w:tr>
      <w:tr>
        <w:trPr>
          <w:trHeight w:val="20" w:hRule="atLeast"/>
          <w:jc w:val="center"/>
        </w:trPr>
        <w:tc>
          <w:tcPr>
            <w:tcW w:w="770" w:type="dxa"/>
            <w:vMerge w:val="restart"/>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b w:val="0"/>
                <w:bCs w:val="0"/>
                <w:kern w:val="0"/>
                <w:szCs w:val="21"/>
              </w:rPr>
            </w:pPr>
            <w:r>
              <w:rPr>
                <w:rFonts w:ascii="Times New Roman" w:hAnsi="Times New Roman" w:eastAsia="宋体" w:cs="Times New Roman"/>
                <w:b/>
                <w:bCs/>
                <w:color w:val="000000" w:themeColor="text1"/>
                <w:kern w:val="24"/>
                <w:szCs w:val="21"/>
                <w14:textFill>
                  <w14:solidFill>
                    <w14:schemeClr w14:val="tx1"/>
                  </w14:solidFill>
                </w14:textFill>
              </w:rPr>
              <w:t>蛋清</w:t>
            </w:r>
          </w:p>
        </w:tc>
        <w:tc>
          <w:tcPr>
            <w:tcW w:w="74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Pep9</w:t>
            </w:r>
          </w:p>
        </w:tc>
        <w:tc>
          <w:tcPr>
            <w:tcW w:w="3285"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ISQAVHAAHAEINEAGR</w:t>
            </w:r>
          </w:p>
        </w:tc>
        <w:tc>
          <w:tcPr>
            <w:tcW w:w="964"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444.2</w:t>
            </w:r>
          </w:p>
        </w:tc>
        <w:tc>
          <w:tcPr>
            <w:tcW w:w="1862"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303.2/546.3/659.3</w:t>
            </w:r>
          </w:p>
        </w:tc>
        <w:tc>
          <w:tcPr>
            <w:tcW w:w="107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20</w:t>
            </w:r>
          </w:p>
        </w:tc>
      </w:tr>
      <w:tr>
        <w:trPr>
          <w:trHeight w:val="20" w:hRule="atLeast"/>
          <w:jc w:val="center"/>
        </w:trPr>
        <w:tc>
          <w:tcPr>
            <w:tcW w:w="770" w:type="dxa"/>
            <w:vMerge w:val="continue"/>
            <w:vAlign w:val="center"/>
          </w:tcPr>
          <w:p>
            <w:pPr>
              <w:widowControl/>
              <w:jc w:val="center"/>
              <w:rPr>
                <w:rFonts w:ascii="Times New Roman" w:hAnsi="Times New Roman" w:eastAsia="宋体" w:cs="Times New Roman"/>
                <w:b w:val="0"/>
                <w:bCs w:val="0"/>
                <w:kern w:val="0"/>
                <w:szCs w:val="21"/>
              </w:rPr>
            </w:pPr>
          </w:p>
        </w:tc>
        <w:tc>
          <w:tcPr>
            <w:tcW w:w="74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Pep10</w:t>
            </w:r>
          </w:p>
        </w:tc>
        <w:tc>
          <w:tcPr>
            <w:tcW w:w="3285"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DYVLVPCK</w:t>
            </w:r>
          </w:p>
        </w:tc>
        <w:tc>
          <w:tcPr>
            <w:tcW w:w="964"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497.2</w:t>
            </w:r>
          </w:p>
        </w:tc>
        <w:tc>
          <w:tcPr>
            <w:tcW w:w="1862"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279.1/404.2/616.3</w:t>
            </w:r>
          </w:p>
        </w:tc>
        <w:tc>
          <w:tcPr>
            <w:tcW w:w="107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21</w:t>
            </w:r>
          </w:p>
        </w:tc>
      </w:tr>
      <w:tr>
        <w:trPr>
          <w:trHeight w:val="20" w:hRule="atLeast"/>
          <w:jc w:val="center"/>
        </w:trPr>
        <w:tc>
          <w:tcPr>
            <w:tcW w:w="770" w:type="dxa"/>
            <w:vMerge w:val="restart"/>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b w:val="0"/>
                <w:bCs w:val="0"/>
                <w:kern w:val="0"/>
                <w:szCs w:val="21"/>
              </w:rPr>
            </w:pPr>
            <w:r>
              <w:rPr>
                <w:rFonts w:ascii="Times New Roman" w:hAnsi="Times New Roman" w:eastAsia="宋体" w:cs="Times New Roman"/>
                <w:b/>
                <w:bCs/>
                <w:color w:val="000000" w:themeColor="text1"/>
                <w:kern w:val="24"/>
                <w:szCs w:val="21"/>
                <w14:textFill>
                  <w14:solidFill>
                    <w14:schemeClr w14:val="tx1"/>
                  </w14:solidFill>
                </w14:textFill>
              </w:rPr>
              <w:t>蛋黄</w:t>
            </w:r>
          </w:p>
        </w:tc>
        <w:tc>
          <w:tcPr>
            <w:tcW w:w="74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Pep11</w:t>
            </w:r>
          </w:p>
        </w:tc>
        <w:tc>
          <w:tcPr>
            <w:tcW w:w="3285"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hint="eastAsia" w:ascii="Times New Roman" w:hAnsi="Times New Roman" w:eastAsia="宋体" w:cs="Times New Roman"/>
                <w:color w:val="000000" w:themeColor="text1"/>
                <w:kern w:val="24"/>
                <w:szCs w:val="21"/>
                <w14:textFill>
                  <w14:solidFill>
                    <w14:schemeClr w14:val="tx1"/>
                  </w14:solidFill>
                </w14:textFill>
              </w:rPr>
              <w:t>QSDSGTLITDVSSR</w:t>
            </w:r>
          </w:p>
        </w:tc>
        <w:tc>
          <w:tcPr>
            <w:tcW w:w="964"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hint="eastAsia" w:ascii="Times New Roman" w:hAnsi="Times New Roman" w:eastAsia="宋体" w:cs="Times New Roman"/>
                <w:color w:val="000000" w:themeColor="text1"/>
                <w:kern w:val="24"/>
                <w:szCs w:val="21"/>
                <w14:textFill>
                  <w14:solidFill>
                    <w14:schemeClr w14:val="tx1"/>
                  </w14:solidFill>
                </w14:textFill>
              </w:rPr>
              <w:t>733.4</w:t>
            </w:r>
          </w:p>
        </w:tc>
        <w:tc>
          <w:tcPr>
            <w:tcW w:w="1862"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hint="eastAsia" w:ascii="Times New Roman" w:hAnsi="Times New Roman" w:eastAsia="宋体" w:cs="Times New Roman"/>
                <w:color w:val="000000" w:themeColor="text1"/>
                <w:kern w:val="24"/>
                <w:szCs w:val="21"/>
                <w14:textFill>
                  <w14:solidFill>
                    <w14:schemeClr w14:val="tx1"/>
                  </w14:solidFill>
                </w14:textFill>
              </w:rPr>
              <w:t>664</w:t>
            </w:r>
            <w:r>
              <w:rPr>
                <w:rFonts w:ascii="Times New Roman" w:hAnsi="Times New Roman" w:eastAsia="宋体" w:cs="Times New Roman"/>
                <w:color w:val="000000" w:themeColor="text1"/>
                <w:kern w:val="24"/>
                <w:szCs w:val="21"/>
                <w14:textFill>
                  <w14:solidFill>
                    <w14:schemeClr w14:val="tx1"/>
                  </w14:solidFill>
                </w14:textFill>
              </w:rPr>
              <w:t>.3/</w:t>
            </w:r>
            <w:r>
              <w:rPr>
                <w:rFonts w:hint="eastAsia" w:ascii="Times New Roman" w:hAnsi="Times New Roman" w:eastAsia="宋体" w:cs="Times New Roman"/>
                <w:color w:val="000000" w:themeColor="text1"/>
                <w:kern w:val="24"/>
                <w:szCs w:val="21"/>
                <w14:textFill>
                  <w14:solidFill>
                    <w14:schemeClr w14:val="tx1"/>
                  </w14:solidFill>
                </w14:textFill>
              </w:rPr>
              <w:t>777.4</w:t>
            </w:r>
            <w:r>
              <w:rPr>
                <w:rFonts w:ascii="Times New Roman" w:hAnsi="Times New Roman" w:eastAsia="宋体" w:cs="Times New Roman"/>
                <w:color w:val="000000" w:themeColor="text1"/>
                <w:kern w:val="24"/>
                <w:szCs w:val="21"/>
                <w14:textFill>
                  <w14:solidFill>
                    <w14:schemeClr w14:val="tx1"/>
                  </w14:solidFill>
                </w14:textFill>
              </w:rPr>
              <w:t>/</w:t>
            </w:r>
            <w:r>
              <w:rPr>
                <w:rFonts w:hint="eastAsia" w:ascii="Times New Roman" w:hAnsi="Times New Roman" w:eastAsia="宋体" w:cs="Times New Roman"/>
                <w:color w:val="000000" w:themeColor="text1"/>
                <w:kern w:val="24"/>
                <w:szCs w:val="21"/>
                <w14:textFill>
                  <w14:solidFill>
                    <w14:schemeClr w14:val="tx1"/>
                  </w14:solidFill>
                </w14:textFill>
              </w:rPr>
              <w:t>890.5</w:t>
            </w:r>
          </w:p>
        </w:tc>
        <w:tc>
          <w:tcPr>
            <w:tcW w:w="1077" w:type="dxa"/>
            <w:tcBorders>
              <w:top w:val="single" w:color="7E7E7E" w:themeColor="text1" w:themeTint="80" w:sz="4" w:space="0"/>
              <w:bottom w:val="single" w:color="7E7E7E" w:themeColor="text1" w:themeTint="80" w:sz="4" w:space="0"/>
            </w:tcBorders>
            <w:vAlign w:val="center"/>
          </w:tcPr>
          <w:p>
            <w:pPr>
              <w:widowControl/>
              <w:jc w:val="center"/>
              <w:rPr>
                <w:rFonts w:ascii="Times New Roman" w:hAnsi="Times New Roman" w:eastAsia="宋体" w:cs="Times New Roman"/>
                <w:kern w:val="0"/>
                <w:szCs w:val="21"/>
              </w:rPr>
            </w:pPr>
            <w:r>
              <w:rPr>
                <w:rFonts w:hint="eastAsia" w:ascii="Times New Roman" w:hAnsi="Times New Roman" w:eastAsia="宋体" w:cs="Times New Roman"/>
                <w:color w:val="000000" w:themeColor="text1"/>
                <w:kern w:val="24"/>
                <w:szCs w:val="21"/>
                <w14:textFill>
                  <w14:solidFill>
                    <w14:schemeClr w14:val="tx1"/>
                  </w14:solidFill>
                </w14:textFill>
              </w:rPr>
              <w:t>26</w:t>
            </w:r>
          </w:p>
        </w:tc>
      </w:tr>
      <w:tr>
        <w:trPr>
          <w:trHeight w:val="20" w:hRule="atLeast"/>
          <w:jc w:val="center"/>
        </w:trPr>
        <w:tc>
          <w:tcPr>
            <w:tcW w:w="770" w:type="dxa"/>
            <w:vMerge w:val="continue"/>
            <w:vAlign w:val="center"/>
          </w:tcPr>
          <w:p>
            <w:pPr>
              <w:widowControl/>
              <w:jc w:val="center"/>
              <w:rPr>
                <w:rFonts w:ascii="Times New Roman" w:hAnsi="Times New Roman" w:eastAsia="宋体" w:cs="Times New Roman"/>
                <w:b w:val="0"/>
                <w:bCs w:val="0"/>
                <w:kern w:val="0"/>
                <w:szCs w:val="21"/>
              </w:rPr>
            </w:pPr>
          </w:p>
        </w:tc>
        <w:tc>
          <w:tcPr>
            <w:tcW w:w="74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Pep12</w:t>
            </w:r>
          </w:p>
        </w:tc>
        <w:tc>
          <w:tcPr>
            <w:tcW w:w="3285"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FLPISSSSAADIPVHIQIDAITALK</w:t>
            </w:r>
          </w:p>
        </w:tc>
        <w:tc>
          <w:tcPr>
            <w:tcW w:w="964"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869.8</w:t>
            </w:r>
          </w:p>
        </w:tc>
        <w:tc>
          <w:tcPr>
            <w:tcW w:w="1862"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766.5/783.4/1069.1</w:t>
            </w:r>
          </w:p>
        </w:tc>
        <w:tc>
          <w:tcPr>
            <w:tcW w:w="1077" w:type="dxa"/>
            <w:vAlign w:val="center"/>
          </w:tcPr>
          <w:p>
            <w:pPr>
              <w:widowControl/>
              <w:jc w:val="center"/>
              <w:rPr>
                <w:rFonts w:ascii="Times New Roman" w:hAnsi="Times New Roman" w:eastAsia="宋体" w:cs="Times New Roman"/>
                <w:kern w:val="0"/>
                <w:szCs w:val="21"/>
              </w:rPr>
            </w:pPr>
            <w:r>
              <w:rPr>
                <w:rFonts w:ascii="Times New Roman" w:hAnsi="Times New Roman" w:eastAsia="宋体" w:cs="Times New Roman"/>
                <w:color w:val="000000" w:themeColor="text1"/>
                <w:kern w:val="24"/>
                <w:szCs w:val="21"/>
                <w14:textFill>
                  <w14:solidFill>
                    <w14:schemeClr w14:val="tx1"/>
                  </w14:solidFill>
                </w14:textFill>
              </w:rPr>
              <w:t>29</w:t>
            </w:r>
          </w:p>
        </w:tc>
      </w:tr>
    </w:tbl>
    <w:p>
      <w:pPr>
        <w:pStyle w:val="4"/>
        <w:rPr>
          <w:rFonts w:ascii="Times New Roman" w:hAnsi="Times New Roman" w:cs="Times New Roman"/>
        </w:rPr>
      </w:pPr>
      <w:r>
        <w:rPr>
          <w:rFonts w:hint="eastAsia" w:ascii="Times New Roman" w:hAnsi="Times New Roman" w:cs="Times New Roman"/>
        </w:rPr>
        <w:t>6</w:t>
      </w:r>
      <w:r>
        <w:rPr>
          <w:rFonts w:ascii="Times New Roman" w:hAnsi="Times New Roman" w:cs="Times New Roman"/>
        </w:rPr>
        <w:t xml:space="preserve">. </w:t>
      </w:r>
      <w:r>
        <w:rPr>
          <w:rFonts w:hint="eastAsia" w:ascii="Times New Roman" w:hAnsi="Times New Roman" w:cs="Times New Roman"/>
        </w:rPr>
        <w:t>检出限的确定</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结合前期制备的3个工艺的模拟样品，通过分析谱图信息，以3倍信噪比预估检出限，又分别制备3种不同比例的模拟样品，其中植物蛋白（大豆、豌豆、花生、小麦）的含量分别为0.05%、0.1%、0.15%，鸡蛋液的含量为0.3%、0.5%、0.8%，来进行检出限的测定，如</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_Ref184367458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 xml:space="preserve">表 </w:t>
      </w:r>
      <w:r>
        <w:rPr>
          <w:rFonts w:ascii="Times New Roman" w:hAnsi="Times New Roman" w:eastAsia="宋体" w:cs="Times New Roman"/>
          <w:sz w:val="28"/>
          <w:szCs w:val="28"/>
        </w:rPr>
        <w:t>3</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所示。依据95%检出率确定方法检出限，最终大豆、豌豆、花生、小麦的检出限为0.1%，鸡蛋液的检出限为0.5%。</w:t>
      </w:r>
    </w:p>
    <w:p>
      <w:pPr>
        <w:jc w:val="center"/>
        <w:rPr>
          <w:rFonts w:ascii="Times New Roman" w:hAnsi="Times New Roman" w:eastAsia="宋体" w:cs="Times New Roman"/>
          <w:szCs w:val="21"/>
        </w:rPr>
      </w:pPr>
      <w:bookmarkStart w:id="9" w:name="_Ref184367458"/>
      <w:r>
        <w:rPr>
          <w:rFonts w:hint="eastAsia" w:ascii="Times New Roman" w:hAnsi="Times New Roman" w:eastAsia="宋体" w:cs="Times New Roman"/>
          <w:szCs w:val="21"/>
        </w:rPr>
        <w:t xml:space="preserve">表 </w:t>
      </w:r>
      <w:r>
        <w:rPr>
          <w:rFonts w:hint="eastAsia" w:ascii="Times New Roman" w:hAnsi="Times New Roman" w:eastAsia="宋体" w:cs="Times New Roman"/>
          <w:szCs w:val="21"/>
        </w:rPr>
        <w:fldChar w:fldCharType="begin"/>
      </w:r>
      <w:r>
        <w:rPr>
          <w:rFonts w:hint="eastAsia" w:ascii="Times New Roman" w:hAnsi="Times New Roman" w:eastAsia="宋体" w:cs="Times New Roman"/>
          <w:szCs w:val="21"/>
        </w:rPr>
        <w:instrText xml:space="preserve"> SEQ 表 \* ARABIC </w:instrText>
      </w:r>
      <w:r>
        <w:rPr>
          <w:rFonts w:hint="eastAsia" w:ascii="Times New Roman" w:hAnsi="Times New Roman" w:eastAsia="宋体" w:cs="Times New Roman"/>
          <w:szCs w:val="21"/>
        </w:rPr>
        <w:fldChar w:fldCharType="separate"/>
      </w:r>
      <w:r>
        <w:rPr>
          <w:rFonts w:ascii="Times New Roman" w:hAnsi="Times New Roman" w:eastAsia="宋体" w:cs="Times New Roman"/>
          <w:szCs w:val="21"/>
        </w:rPr>
        <w:t>3</w:t>
      </w:r>
      <w:r>
        <w:rPr>
          <w:rFonts w:hint="eastAsia" w:ascii="Times New Roman" w:hAnsi="Times New Roman" w:eastAsia="宋体" w:cs="Times New Roman"/>
          <w:szCs w:val="21"/>
        </w:rPr>
        <w:fldChar w:fldCharType="end"/>
      </w:r>
      <w:bookmarkEnd w:id="9"/>
      <w:r>
        <w:rPr>
          <w:rFonts w:hint="eastAsia" w:ascii="Times New Roman" w:hAnsi="Times New Roman" w:eastAsia="宋体" w:cs="Times New Roman"/>
          <w:szCs w:val="21"/>
        </w:rPr>
        <w:t xml:space="preserve"> 质控样品中非肉类蛋白的含量信息及检出率</w:t>
      </w:r>
    </w:p>
    <w:tbl>
      <w:tblPr>
        <w:tblStyle w:val="11"/>
        <w:tblW w:w="89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1"/>
        <w:gridCol w:w="1361"/>
        <w:gridCol w:w="959"/>
        <w:gridCol w:w="1134"/>
        <w:gridCol w:w="850"/>
        <w:gridCol w:w="1134"/>
        <w:gridCol w:w="993"/>
        <w:gridCol w:w="1134"/>
      </w:tblGrid>
      <w:tr>
        <w:trPr>
          <w:jc w:val="center"/>
        </w:trPr>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工艺类型</w:t>
            </w: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非肉类蛋白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含量</w:t>
            </w:r>
          </w:p>
        </w:tc>
        <w:tc>
          <w:tcPr>
            <w:tcW w:w="1134"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检出率%</w:t>
            </w:r>
          </w:p>
        </w:tc>
        <w:tc>
          <w:tcPr>
            <w:tcW w:w="850"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含量</w:t>
            </w:r>
          </w:p>
        </w:tc>
        <w:tc>
          <w:tcPr>
            <w:tcW w:w="1134"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检出率%</w:t>
            </w:r>
          </w:p>
        </w:tc>
        <w:tc>
          <w:tcPr>
            <w:tcW w:w="993"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含量</w:t>
            </w:r>
          </w:p>
        </w:tc>
        <w:tc>
          <w:tcPr>
            <w:tcW w:w="1134"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检出率%</w:t>
            </w:r>
          </w:p>
        </w:tc>
      </w:tr>
      <w:tr>
        <w:trPr>
          <w:jc w:val="center"/>
        </w:trPr>
        <w:tc>
          <w:tcPr>
            <w:tcW w:w="1361" w:type="dxa"/>
            <w:vMerge w:val="restart"/>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水煮工艺</w:t>
            </w: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大豆蛋白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61.17</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97.66</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豌豆蛋白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40.42</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97.65</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花生蛋白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65.88</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97.18</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小麦蛋白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68.49</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97.97</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蛋清蛋白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0.3%</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54.06</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97.82</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0.8%</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蛋黄蛋白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0.3%</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49.06</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96.45</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0.8%</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restart"/>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高压灭菌工艺</w:t>
            </w: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大豆蛋白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56.00</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97.39</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豌豆蛋白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62.82</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97.96</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花生蛋白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63.71</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96.49</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小麦蛋白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50.92</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97.07</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蛋清蛋白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0.3%</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48.95</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96.21</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0.8%</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蛋黄蛋白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0.3%</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63.24</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98.00</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0.8%</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restart"/>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油炸工艺</w:t>
            </w: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大豆蛋白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57.39</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97.35</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豌豆蛋白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64.43</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96.03</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花生蛋白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51.21</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97.15</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小麦蛋白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55.75</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96.20</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0.15%</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蛋清蛋白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0.3%</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58.68</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96.21</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0.8%</w:t>
            </w:r>
          </w:p>
        </w:tc>
        <w:tc>
          <w:tcPr>
            <w:tcW w:w="1134" w:type="dxa"/>
          </w:tcPr>
          <w:p>
            <w:pPr>
              <w:jc w:val="center"/>
              <w:rPr>
                <w:rFonts w:hint="eastAsia"/>
              </w:rPr>
            </w:pPr>
            <w:r>
              <w:rPr>
                <w:rFonts w:hint="eastAsia" w:ascii="Times New Roman" w:hAnsi="Times New Roman" w:eastAsia="宋体" w:cs="Times New Roman"/>
                <w:sz w:val="22"/>
              </w:rPr>
              <w:t>100</w:t>
            </w:r>
          </w:p>
        </w:tc>
      </w:tr>
      <w:tr>
        <w:trPr>
          <w:jc w:val="center"/>
        </w:trPr>
        <w:tc>
          <w:tcPr>
            <w:tcW w:w="1361" w:type="dxa"/>
            <w:vMerge w:val="continue"/>
            <w:vAlign w:val="center"/>
          </w:tcPr>
          <w:p>
            <w:pPr>
              <w:jc w:val="center"/>
              <w:rPr>
                <w:rFonts w:ascii="Times New Roman" w:hAnsi="Times New Roman" w:eastAsia="宋体" w:cs="Times New Roman"/>
                <w:sz w:val="22"/>
              </w:rPr>
            </w:pPr>
          </w:p>
        </w:tc>
        <w:tc>
          <w:tcPr>
            <w:tcW w:w="1361"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蛋黄蛋白</w:t>
            </w:r>
          </w:p>
        </w:tc>
        <w:tc>
          <w:tcPr>
            <w:tcW w:w="959" w:type="dxa"/>
            <w:vAlign w:val="center"/>
          </w:tcPr>
          <w:p>
            <w:pPr>
              <w:jc w:val="center"/>
              <w:rPr>
                <w:rFonts w:ascii="Times New Roman" w:hAnsi="Times New Roman" w:eastAsia="宋体" w:cs="Times New Roman"/>
                <w:sz w:val="22"/>
              </w:rPr>
            </w:pPr>
            <w:r>
              <w:rPr>
                <w:rFonts w:hint="eastAsia" w:ascii="Times New Roman" w:hAnsi="Times New Roman" w:eastAsia="宋体" w:cs="Times New Roman"/>
                <w:sz w:val="22"/>
              </w:rPr>
              <w:t>0.3%</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66.14</w:t>
            </w:r>
          </w:p>
        </w:tc>
        <w:tc>
          <w:tcPr>
            <w:tcW w:w="850"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0.5%</w:t>
            </w:r>
          </w:p>
        </w:tc>
        <w:tc>
          <w:tcPr>
            <w:tcW w:w="1134" w:type="dxa"/>
          </w:tcPr>
          <w:p>
            <w:pPr>
              <w:jc w:val="center"/>
              <w:rPr>
                <w:rFonts w:ascii="Times New Roman" w:hAnsi="Times New Roman" w:eastAsia="宋体" w:cs="Times New Roman"/>
                <w:sz w:val="22"/>
              </w:rPr>
            </w:pPr>
            <w:r>
              <w:rPr>
                <w:rFonts w:hint="eastAsia" w:ascii="Times New Roman" w:hAnsi="Times New Roman" w:eastAsia="宋体" w:cs="Times New Roman"/>
                <w:sz w:val="22"/>
              </w:rPr>
              <w:t>97.60</w:t>
            </w:r>
          </w:p>
        </w:tc>
        <w:tc>
          <w:tcPr>
            <w:tcW w:w="993" w:type="dxa"/>
          </w:tcPr>
          <w:p>
            <w:pPr>
              <w:jc w:val="center"/>
              <w:rPr>
                <w:rFonts w:ascii="Times New Roman" w:hAnsi="Times New Roman" w:eastAsia="宋体" w:cs="Times New Roman"/>
                <w:sz w:val="22"/>
              </w:rPr>
            </w:pPr>
            <w:r>
              <w:rPr>
                <w:rFonts w:hint="eastAsia" w:ascii="Times New Roman" w:hAnsi="Times New Roman" w:eastAsia="宋体" w:cs="Times New Roman"/>
                <w:sz w:val="22"/>
              </w:rPr>
              <w:t>0.8%</w:t>
            </w:r>
          </w:p>
        </w:tc>
        <w:tc>
          <w:tcPr>
            <w:tcW w:w="1134" w:type="dxa"/>
          </w:tcPr>
          <w:p>
            <w:pPr>
              <w:jc w:val="center"/>
              <w:rPr>
                <w:rFonts w:hint="eastAsia"/>
              </w:rPr>
            </w:pPr>
            <w:r>
              <w:rPr>
                <w:rFonts w:hint="eastAsia" w:ascii="Times New Roman" w:hAnsi="Times New Roman" w:eastAsia="宋体" w:cs="Times New Roman"/>
                <w:sz w:val="22"/>
              </w:rPr>
              <w:t>100</w:t>
            </w:r>
          </w:p>
        </w:tc>
      </w:tr>
    </w:tbl>
    <w:p>
      <w:pPr>
        <w:pStyle w:val="2"/>
        <w:numPr>
          <w:ilvl w:val="0"/>
          <w:numId w:val="1"/>
        </w:numPr>
        <w:rPr>
          <w:rFonts w:ascii="Times New Roman" w:hAnsi="Times New Roman" w:cs="Times New Roman"/>
        </w:rPr>
      </w:pPr>
      <w:r>
        <w:rPr>
          <w:rFonts w:hint="eastAsia" w:ascii="Times New Roman" w:hAnsi="Times New Roman" w:cs="Times New Roman"/>
        </w:rPr>
        <w:t>实验室间验证</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为验证本方法的有效性和适用性，进一步确定方法的检出限，分别在浙江工商大学海洋食品研究院（机构1）、成都市食品检验研究院（机构2）、中国海关科学技术研究中心（机构3）3家不同实验室对本方法进行验证。</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本次验证设置了3个浓度的混匀样品，分别是0.5倍检出限、1倍检出限及2倍检出限，样品均以鸡肉为主要原料，按照比例加入植物蛋白（大豆蛋白、花生蛋白、豌豆蛋白、小麦蛋白，后面均简述为植物蛋白）及鸡蛋液。并且分别制备了3个工艺的模拟样品，分别是水煮工艺（在沸水浴中煮30 min）（工艺1）、高压灭菌工艺（121℃高压环境下30 min）（工艺2）、油炸工艺（在热油中炸至样品表面金黄）（工艺3）。</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整个验证过程中，对验证工作的相关要求和注意事项作了说明，对出现的问题进行了及时的沟通和交流，3家机构的详细数据如</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_Ref203904033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 xml:space="preserve">表 </w:t>
      </w:r>
      <w:r>
        <w:rPr>
          <w:rFonts w:ascii="Times New Roman" w:hAnsi="Times New Roman" w:eastAsia="宋体" w:cs="Times New Roman"/>
          <w:sz w:val="28"/>
          <w:szCs w:val="28"/>
        </w:rPr>
        <w:t>4</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所示。0.5倍检出限浓度下，大豆蛋白的检出率为45.83%，豌豆蛋白的检出率为33.33%，花生蛋白的检出率为55.55%，小麦蛋白的检出率为44.45%，蛋清蛋白的检出率为36.11%，蛋黄蛋白的检出率为47.92%；检出限浓度下，大豆蛋白、花生蛋白、小麦蛋白、蛋黄蛋白的检出率为100%，豌豆蛋白、蛋清蛋白的检出率为98.15%；2倍检出限的浓度下，植物蛋白、蛋清蛋白、蛋黄蛋白均能够检出，具体验证报告见附录。</w:t>
      </w:r>
    </w:p>
    <w:p>
      <w:pPr>
        <w:ind w:firstLine="420" w:firstLineChars="200"/>
        <w:jc w:val="center"/>
        <w:rPr>
          <w:rFonts w:ascii="Times New Roman" w:hAnsi="Times New Roman" w:eastAsia="宋体" w:cs="Times New Roman"/>
          <w:szCs w:val="21"/>
        </w:rPr>
      </w:pPr>
      <w:bookmarkStart w:id="10" w:name="_Ref203904033"/>
      <w:r>
        <w:rPr>
          <w:rFonts w:hint="eastAsia" w:ascii="Times New Roman" w:hAnsi="Times New Roman" w:eastAsia="宋体" w:cs="Times New Roman"/>
          <w:szCs w:val="21"/>
        </w:rPr>
        <w:t xml:space="preserve">表 </w:t>
      </w:r>
      <w:r>
        <w:rPr>
          <w:rFonts w:hint="eastAsia" w:ascii="Times New Roman" w:hAnsi="Times New Roman" w:eastAsia="宋体" w:cs="Times New Roman"/>
          <w:szCs w:val="21"/>
        </w:rPr>
        <w:fldChar w:fldCharType="begin"/>
      </w:r>
      <w:r>
        <w:rPr>
          <w:rFonts w:hint="eastAsia" w:ascii="Times New Roman" w:hAnsi="Times New Roman" w:eastAsia="宋体" w:cs="Times New Roman"/>
          <w:szCs w:val="21"/>
        </w:rPr>
        <w:instrText xml:space="preserve"> SEQ 表 \* ARABIC </w:instrText>
      </w:r>
      <w:r>
        <w:rPr>
          <w:rFonts w:hint="eastAsia" w:ascii="Times New Roman" w:hAnsi="Times New Roman" w:eastAsia="宋体" w:cs="Times New Roman"/>
          <w:szCs w:val="21"/>
        </w:rPr>
        <w:fldChar w:fldCharType="separate"/>
      </w:r>
      <w:r>
        <w:rPr>
          <w:rFonts w:ascii="Times New Roman" w:hAnsi="Times New Roman" w:eastAsia="宋体" w:cs="Times New Roman"/>
          <w:szCs w:val="21"/>
        </w:rPr>
        <w:t>4</w:t>
      </w:r>
      <w:r>
        <w:rPr>
          <w:rFonts w:hint="eastAsia" w:ascii="Times New Roman" w:hAnsi="Times New Roman" w:eastAsia="宋体" w:cs="Times New Roman"/>
          <w:szCs w:val="21"/>
        </w:rPr>
        <w:fldChar w:fldCharType="end"/>
      </w:r>
      <w:bookmarkEnd w:id="10"/>
      <w:r>
        <w:rPr>
          <w:rFonts w:hint="eastAsia" w:ascii="Times New Roman" w:hAnsi="Times New Roman" w:eastAsia="宋体" w:cs="Times New Roman"/>
          <w:szCs w:val="21"/>
        </w:rPr>
        <w:t xml:space="preserve"> 实验间验证结果</w:t>
      </w:r>
    </w:p>
    <w:tbl>
      <w:tblPr>
        <w:tblStyle w:val="11"/>
        <w:tblW w:w="968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04"/>
        <w:gridCol w:w="805"/>
        <w:gridCol w:w="806"/>
        <w:gridCol w:w="805"/>
        <w:gridCol w:w="806"/>
        <w:gridCol w:w="805"/>
        <w:gridCol w:w="806"/>
        <w:gridCol w:w="805"/>
        <w:gridCol w:w="806"/>
        <w:gridCol w:w="806"/>
        <w:gridCol w:w="1134"/>
      </w:tblGrid>
      <w:tr>
        <w:trPr>
          <w:jc w:val="center"/>
        </w:trPr>
        <w:tc>
          <w:tcPr>
            <w:tcW w:w="1304"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非肉类蛋白</w:t>
            </w:r>
          </w:p>
        </w:tc>
        <w:tc>
          <w:tcPr>
            <w:tcW w:w="8384" w:type="dxa"/>
            <w:gridSpan w:val="10"/>
            <w:vAlign w:val="center"/>
          </w:tcPr>
          <w:p>
            <w:pPr>
              <w:jc w:val="center"/>
              <w:rPr>
                <w:rFonts w:ascii="Times New Roman" w:hAnsi="Times New Roman" w:eastAsia="宋体" w:cs="Times New Roman"/>
                <w:szCs w:val="21"/>
              </w:rPr>
            </w:pPr>
            <w:r>
              <w:rPr>
                <w:rFonts w:ascii="Times New Roman" w:hAnsi="Times New Roman" w:eastAsia="宋体" w:cs="Times New Roman"/>
                <w:szCs w:val="21"/>
              </w:rPr>
              <w:t>0.5倍检出限</w:t>
            </w:r>
            <w:r>
              <w:rPr>
                <w:rFonts w:hint="eastAsia" w:ascii="Times New Roman" w:hAnsi="Times New Roman" w:eastAsia="宋体" w:cs="Times New Roman"/>
                <w:szCs w:val="21"/>
              </w:rPr>
              <w:t>水平</w:t>
            </w:r>
            <w:r>
              <w:rPr>
                <w:rFonts w:ascii="Times New Roman" w:hAnsi="Times New Roman" w:eastAsia="宋体" w:cs="Times New Roman"/>
                <w:szCs w:val="21"/>
              </w:rPr>
              <w:t>下的检出率%</w:t>
            </w:r>
          </w:p>
        </w:tc>
      </w:tr>
      <w:tr>
        <w:trPr>
          <w:trHeight w:val="265" w:hRule="atLeast"/>
          <w:jc w:val="center"/>
        </w:trPr>
        <w:tc>
          <w:tcPr>
            <w:tcW w:w="1304" w:type="dxa"/>
            <w:vMerge w:val="continue"/>
            <w:vAlign w:val="center"/>
          </w:tcPr>
          <w:p>
            <w:pPr>
              <w:jc w:val="center"/>
              <w:rPr>
                <w:rFonts w:ascii="Times New Roman" w:hAnsi="Times New Roman" w:eastAsia="宋体" w:cs="Times New Roman"/>
                <w:szCs w:val="21"/>
              </w:rPr>
            </w:pPr>
          </w:p>
        </w:tc>
        <w:tc>
          <w:tcPr>
            <w:tcW w:w="2416" w:type="dxa"/>
            <w:gridSpan w:val="3"/>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工艺1</w:t>
            </w:r>
          </w:p>
        </w:tc>
        <w:tc>
          <w:tcPr>
            <w:tcW w:w="2417" w:type="dxa"/>
            <w:gridSpan w:val="3"/>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工艺2</w:t>
            </w:r>
          </w:p>
        </w:tc>
        <w:tc>
          <w:tcPr>
            <w:tcW w:w="2417" w:type="dxa"/>
            <w:gridSpan w:val="3"/>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工艺3</w:t>
            </w:r>
          </w:p>
        </w:tc>
        <w:tc>
          <w:tcPr>
            <w:tcW w:w="1134" w:type="dxa"/>
            <w:vMerge w:val="restar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平均检出率%</w:t>
            </w:r>
          </w:p>
        </w:tc>
      </w:tr>
      <w:tr>
        <w:trPr>
          <w:trHeight w:val="268" w:hRule="atLeast"/>
          <w:jc w:val="center"/>
        </w:trPr>
        <w:tc>
          <w:tcPr>
            <w:tcW w:w="1304" w:type="dxa"/>
            <w:vMerge w:val="continue"/>
            <w:vAlign w:val="center"/>
          </w:tcPr>
          <w:p>
            <w:pPr>
              <w:jc w:val="center"/>
              <w:rPr>
                <w:rFonts w:ascii="Times New Roman" w:hAnsi="Times New Roman" w:eastAsia="宋体" w:cs="Times New Roman"/>
                <w:szCs w:val="21"/>
              </w:rPr>
            </w:pP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机构1</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机构2</w:t>
            </w: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机构3</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机构1</w:t>
            </w: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机构2</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机构3</w:t>
            </w: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机构1</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机构2</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机构3</w:t>
            </w:r>
          </w:p>
        </w:tc>
        <w:tc>
          <w:tcPr>
            <w:tcW w:w="1134" w:type="dxa"/>
            <w:vMerge w:val="continue"/>
            <w:vAlign w:val="center"/>
          </w:tcPr>
          <w:p>
            <w:pPr>
              <w:jc w:val="center"/>
              <w:rPr>
                <w:rFonts w:ascii="Times New Roman" w:hAnsi="Times New Roman" w:eastAsia="宋体" w:cs="Times New Roman"/>
                <w:szCs w:val="21"/>
              </w:rPr>
            </w:pP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大豆蛋白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66.67</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50.00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45.83</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豌豆蛋白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50.00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50.00</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花生蛋白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50.00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83.33</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50.00</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55.55</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小麦蛋白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44.45</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蛋清蛋白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66.67</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36.11</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蛋黄蛋白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50.00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16.67</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50.00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33.33</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50.00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50.00</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47.92</w:t>
            </w:r>
          </w:p>
        </w:tc>
      </w:tr>
      <w:tr>
        <w:trPr>
          <w:jc w:val="center"/>
        </w:trPr>
        <w:tc>
          <w:tcPr>
            <w:tcW w:w="1304"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非肉类蛋白</w:t>
            </w:r>
          </w:p>
        </w:tc>
        <w:tc>
          <w:tcPr>
            <w:tcW w:w="8384" w:type="dxa"/>
            <w:gridSpan w:val="10"/>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检出限</w:t>
            </w:r>
            <w:r>
              <w:rPr>
                <w:rFonts w:hint="eastAsia" w:ascii="Times New Roman" w:hAnsi="Times New Roman" w:eastAsia="宋体" w:cs="Times New Roman"/>
                <w:szCs w:val="21"/>
              </w:rPr>
              <w:t>水平</w:t>
            </w:r>
            <w:r>
              <w:rPr>
                <w:rFonts w:ascii="Times New Roman" w:hAnsi="Times New Roman" w:eastAsia="宋体" w:cs="Times New Roman"/>
                <w:szCs w:val="21"/>
              </w:rPr>
              <w:t>下的检出率%</w:t>
            </w:r>
          </w:p>
        </w:tc>
      </w:tr>
      <w:tr>
        <w:trPr>
          <w:trHeight w:val="265" w:hRule="atLeast"/>
          <w:jc w:val="center"/>
        </w:trPr>
        <w:tc>
          <w:tcPr>
            <w:tcW w:w="1304" w:type="dxa"/>
            <w:vMerge w:val="continue"/>
            <w:vAlign w:val="center"/>
          </w:tcPr>
          <w:p>
            <w:pPr>
              <w:jc w:val="center"/>
              <w:rPr>
                <w:rFonts w:ascii="Times New Roman" w:hAnsi="Times New Roman" w:eastAsia="宋体" w:cs="Times New Roman"/>
                <w:szCs w:val="21"/>
              </w:rPr>
            </w:pPr>
          </w:p>
        </w:tc>
        <w:tc>
          <w:tcPr>
            <w:tcW w:w="2416" w:type="dxa"/>
            <w:gridSpan w:val="3"/>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工艺1</w:t>
            </w:r>
          </w:p>
        </w:tc>
        <w:tc>
          <w:tcPr>
            <w:tcW w:w="2417" w:type="dxa"/>
            <w:gridSpan w:val="3"/>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工艺2</w:t>
            </w:r>
          </w:p>
        </w:tc>
        <w:tc>
          <w:tcPr>
            <w:tcW w:w="2417" w:type="dxa"/>
            <w:gridSpan w:val="3"/>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工艺3</w:t>
            </w:r>
          </w:p>
        </w:tc>
        <w:tc>
          <w:tcPr>
            <w:tcW w:w="1134" w:type="dxa"/>
            <w:vMerge w:val="restar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平均检出率%</w:t>
            </w:r>
          </w:p>
        </w:tc>
      </w:tr>
      <w:tr>
        <w:trPr>
          <w:trHeight w:val="268" w:hRule="atLeast"/>
          <w:jc w:val="center"/>
        </w:trPr>
        <w:tc>
          <w:tcPr>
            <w:tcW w:w="1304" w:type="dxa"/>
            <w:vMerge w:val="continue"/>
            <w:vAlign w:val="center"/>
          </w:tcPr>
          <w:p>
            <w:pPr>
              <w:jc w:val="center"/>
              <w:rPr>
                <w:rFonts w:ascii="Times New Roman" w:hAnsi="Times New Roman" w:eastAsia="宋体" w:cs="Times New Roman"/>
                <w:szCs w:val="21"/>
              </w:rPr>
            </w:pP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机构1</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机构2</w:t>
            </w: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机构3</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机构1</w:t>
            </w: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机构2</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机构3</w:t>
            </w: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机构1</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机构2</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机构3</w:t>
            </w:r>
          </w:p>
        </w:tc>
        <w:tc>
          <w:tcPr>
            <w:tcW w:w="1134" w:type="dxa"/>
            <w:vMerge w:val="continue"/>
            <w:vAlign w:val="center"/>
          </w:tcPr>
          <w:p>
            <w:pPr>
              <w:jc w:val="center"/>
              <w:rPr>
                <w:rFonts w:ascii="Times New Roman" w:hAnsi="Times New Roman" w:eastAsia="宋体" w:cs="Times New Roman"/>
                <w:szCs w:val="21"/>
              </w:rPr>
            </w:pP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大豆蛋白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100.00</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豌豆蛋白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83.33</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98.15</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花生蛋白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100.00</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小麦蛋白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100.00</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蛋清蛋白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83.33</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98.15</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蛋黄蛋白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100.00</w:t>
            </w:r>
          </w:p>
        </w:tc>
      </w:tr>
      <w:tr>
        <w:trPr>
          <w:jc w:val="center"/>
        </w:trPr>
        <w:tc>
          <w:tcPr>
            <w:tcW w:w="1304" w:type="dxa"/>
            <w:vMerge w:val="restart"/>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非肉类蛋白</w:t>
            </w:r>
          </w:p>
        </w:tc>
        <w:tc>
          <w:tcPr>
            <w:tcW w:w="8384" w:type="dxa"/>
            <w:gridSpan w:val="10"/>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倍检出限</w:t>
            </w:r>
            <w:r>
              <w:rPr>
                <w:rFonts w:hint="eastAsia" w:ascii="Times New Roman" w:hAnsi="Times New Roman" w:eastAsia="宋体" w:cs="Times New Roman"/>
                <w:szCs w:val="21"/>
              </w:rPr>
              <w:t>水平</w:t>
            </w:r>
            <w:r>
              <w:rPr>
                <w:rFonts w:ascii="Times New Roman" w:hAnsi="Times New Roman" w:eastAsia="宋体" w:cs="Times New Roman"/>
                <w:szCs w:val="21"/>
              </w:rPr>
              <w:t>下的检出率%</w:t>
            </w:r>
          </w:p>
        </w:tc>
      </w:tr>
      <w:tr>
        <w:trPr>
          <w:trHeight w:val="265" w:hRule="atLeast"/>
          <w:jc w:val="center"/>
        </w:trPr>
        <w:tc>
          <w:tcPr>
            <w:tcW w:w="1304" w:type="dxa"/>
            <w:vMerge w:val="continue"/>
            <w:vAlign w:val="center"/>
          </w:tcPr>
          <w:p>
            <w:pPr>
              <w:jc w:val="center"/>
              <w:rPr>
                <w:rFonts w:ascii="Times New Roman" w:hAnsi="Times New Roman" w:eastAsia="宋体" w:cs="Times New Roman"/>
                <w:szCs w:val="21"/>
              </w:rPr>
            </w:pPr>
          </w:p>
        </w:tc>
        <w:tc>
          <w:tcPr>
            <w:tcW w:w="2416" w:type="dxa"/>
            <w:gridSpan w:val="3"/>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工艺1</w:t>
            </w:r>
          </w:p>
        </w:tc>
        <w:tc>
          <w:tcPr>
            <w:tcW w:w="2417" w:type="dxa"/>
            <w:gridSpan w:val="3"/>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工艺2</w:t>
            </w:r>
          </w:p>
        </w:tc>
        <w:tc>
          <w:tcPr>
            <w:tcW w:w="2417" w:type="dxa"/>
            <w:gridSpan w:val="3"/>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工艺3</w:t>
            </w:r>
          </w:p>
        </w:tc>
        <w:tc>
          <w:tcPr>
            <w:tcW w:w="1134" w:type="dxa"/>
            <w:vMerge w:val="restart"/>
            <w:vAlign w:val="center"/>
          </w:tcPr>
          <w:p>
            <w:pPr>
              <w:widowControl/>
              <w:jc w:val="center"/>
              <w:rPr>
                <w:rFonts w:ascii="Times New Roman" w:hAnsi="Times New Roman" w:eastAsia="宋体" w:cs="Times New Roman"/>
                <w:szCs w:val="21"/>
              </w:rPr>
            </w:pPr>
            <w:r>
              <w:rPr>
                <w:rFonts w:ascii="Times New Roman" w:hAnsi="Times New Roman" w:eastAsia="宋体" w:cs="Times New Roman"/>
                <w:szCs w:val="21"/>
              </w:rPr>
              <w:t>平均检出率%</w:t>
            </w:r>
          </w:p>
        </w:tc>
      </w:tr>
      <w:tr>
        <w:trPr>
          <w:trHeight w:val="268" w:hRule="atLeast"/>
          <w:jc w:val="center"/>
        </w:trPr>
        <w:tc>
          <w:tcPr>
            <w:tcW w:w="1304" w:type="dxa"/>
            <w:vMerge w:val="continue"/>
            <w:vAlign w:val="center"/>
          </w:tcPr>
          <w:p>
            <w:pPr>
              <w:jc w:val="center"/>
              <w:rPr>
                <w:rFonts w:ascii="Times New Roman" w:hAnsi="Times New Roman" w:eastAsia="宋体" w:cs="Times New Roman"/>
                <w:szCs w:val="21"/>
              </w:rPr>
            </w:pP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机构1</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机构2</w:t>
            </w: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机构3</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机构1</w:t>
            </w: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机构2</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机构3</w:t>
            </w:r>
          </w:p>
        </w:tc>
        <w:tc>
          <w:tcPr>
            <w:tcW w:w="80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机构1</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机构2</w:t>
            </w:r>
          </w:p>
        </w:tc>
        <w:tc>
          <w:tcPr>
            <w:tcW w:w="806"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机构3</w:t>
            </w:r>
          </w:p>
        </w:tc>
        <w:tc>
          <w:tcPr>
            <w:tcW w:w="1134" w:type="dxa"/>
            <w:vMerge w:val="continue"/>
            <w:vAlign w:val="center"/>
          </w:tcPr>
          <w:p>
            <w:pPr>
              <w:jc w:val="center"/>
              <w:rPr>
                <w:rFonts w:ascii="Times New Roman" w:hAnsi="Times New Roman" w:eastAsia="宋体" w:cs="Times New Roman"/>
                <w:szCs w:val="21"/>
              </w:rPr>
            </w:pP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大豆蛋白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豌豆蛋白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花生蛋白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小麦蛋白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蛋清蛋白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r>
      <w:tr>
        <w:trPr>
          <w:trHeight w:val="268" w:hRule="atLeast"/>
          <w:jc w:val="center"/>
        </w:trPr>
        <w:tc>
          <w:tcPr>
            <w:tcW w:w="130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蛋黄蛋白</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5"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806"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13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100</w:t>
            </w:r>
          </w:p>
        </w:tc>
      </w:tr>
    </w:tbl>
    <w:p>
      <w:pPr>
        <w:rPr>
          <w:rFonts w:ascii="Times New Roman" w:hAnsi="Times New Roman" w:eastAsia="宋体" w:cs="Times New Roman"/>
          <w:sz w:val="28"/>
          <w:szCs w:val="28"/>
        </w:rPr>
      </w:pPr>
    </w:p>
    <w:p>
      <w:pPr>
        <w:pStyle w:val="2"/>
        <w:rPr>
          <w:rFonts w:ascii="Times New Roman" w:hAnsi="Times New Roman" w:cs="Times New Roman"/>
        </w:rPr>
      </w:pPr>
      <w:r>
        <w:rPr>
          <w:rFonts w:hint="eastAsia" w:ascii="Times New Roman" w:hAnsi="Times New Roman" w:cs="Times New Roman"/>
        </w:rPr>
        <w:t>六</w:t>
      </w:r>
      <w:r>
        <w:rPr>
          <w:rFonts w:ascii="Times New Roman" w:hAnsi="Times New Roman" w:cs="Times New Roman"/>
        </w:rPr>
        <w:t>、方法可能带来的经济和社会影响评估</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目前，以PCR为主的分子生物学真伪鉴别方法仅是对单一植物源性成分（如大豆）进行鉴别，鉴别种类受限，成本价格高，也无法实现多种动物蛋白和植物蛋白的同时鉴别。畜禽肉制品中非肉类蛋白的测定标准的建立，为核实加工肉制品中的具体成分提供方法依据，对推动肉制品行业的健康发展具有重要意义，并对净化产业链、提高产业信誉度、避免假冒原料和产品对产业的伤害也具有重要意义；同时能为监管机构快速准确检测肉制品中所含有的非肉成分提供技术支持，为打击肉类产品成分标识不准确、刻意隐瞒等违法违规行为提供坚实的技术保障。</w:t>
      </w:r>
    </w:p>
    <w:p>
      <w:pPr>
        <w:ind w:firstLine="560" w:firstLineChars="200"/>
        <w:rPr>
          <w:rFonts w:ascii="Times New Roman" w:hAnsi="Times New Roman" w:eastAsia="宋体" w:cs="Times New Roman"/>
          <w:sz w:val="28"/>
          <w:szCs w:val="28"/>
        </w:rPr>
      </w:pPr>
      <w:r>
        <w:rPr>
          <w:rFonts w:hint="eastAsia" w:ascii="Times New Roman" w:hAnsi="Times New Roman" w:eastAsia="宋体" w:cs="Times New Roman"/>
          <w:sz w:val="28"/>
          <w:szCs w:val="28"/>
        </w:rPr>
        <w:t>利用本方法对市售的样品进行测定，结果如</w:t>
      </w:r>
      <w:r>
        <w:rPr>
          <w:rFonts w:ascii="Times New Roman" w:hAnsi="Times New Roman" w:eastAsia="宋体" w:cs="Times New Roman"/>
          <w:sz w:val="28"/>
          <w:szCs w:val="28"/>
        </w:rPr>
        <w:fldChar w:fldCharType="begin"/>
      </w:r>
      <w:r>
        <w:rPr>
          <w:rFonts w:ascii="Times New Roman" w:hAnsi="Times New Roman" w:eastAsia="宋体" w:cs="Times New Roman"/>
          <w:sz w:val="28"/>
          <w:szCs w:val="28"/>
        </w:rPr>
        <w:instrText xml:space="preserve"> </w:instrText>
      </w:r>
      <w:r>
        <w:rPr>
          <w:rFonts w:hint="eastAsia" w:ascii="Times New Roman" w:hAnsi="Times New Roman" w:eastAsia="宋体" w:cs="Times New Roman"/>
          <w:sz w:val="28"/>
          <w:szCs w:val="28"/>
        </w:rPr>
        <w:instrText xml:space="preserve">REF _Ref203904431 \h</w:instrText>
      </w:r>
      <w:r>
        <w:rPr>
          <w:rFonts w:ascii="Times New Roman" w:hAnsi="Times New Roman" w:eastAsia="宋体" w:cs="Times New Roman"/>
          <w:sz w:val="28"/>
          <w:szCs w:val="28"/>
        </w:rPr>
        <w:instrText xml:space="preserve">  \* MERGEFORMAT </w:instrText>
      </w:r>
      <w:r>
        <w:rPr>
          <w:rFonts w:ascii="Times New Roman" w:hAnsi="Times New Roman" w:eastAsia="宋体" w:cs="Times New Roman"/>
          <w:sz w:val="28"/>
          <w:szCs w:val="28"/>
        </w:rPr>
        <w:fldChar w:fldCharType="separate"/>
      </w:r>
      <w:r>
        <w:rPr>
          <w:rFonts w:hint="eastAsia" w:ascii="Times New Roman" w:hAnsi="Times New Roman" w:eastAsia="宋体" w:cs="Times New Roman"/>
          <w:sz w:val="28"/>
          <w:szCs w:val="28"/>
        </w:rPr>
        <w:t xml:space="preserve">表 </w:t>
      </w:r>
      <w:r>
        <w:rPr>
          <w:rFonts w:ascii="Times New Roman" w:hAnsi="Times New Roman" w:eastAsia="宋体" w:cs="Times New Roman"/>
          <w:sz w:val="28"/>
          <w:szCs w:val="28"/>
        </w:rPr>
        <w:t>5</w:t>
      </w:r>
      <w:r>
        <w:rPr>
          <w:rFonts w:ascii="Times New Roman" w:hAnsi="Times New Roman" w:eastAsia="宋体" w:cs="Times New Roman"/>
          <w:sz w:val="28"/>
          <w:szCs w:val="28"/>
        </w:rPr>
        <w:fldChar w:fldCharType="end"/>
      </w:r>
      <w:r>
        <w:rPr>
          <w:rFonts w:hint="eastAsia" w:ascii="Times New Roman" w:hAnsi="Times New Roman" w:eastAsia="宋体" w:cs="Times New Roman"/>
          <w:sz w:val="28"/>
          <w:szCs w:val="28"/>
        </w:rPr>
        <w:t>所示，对比食品配料表，大部分食品的添加成分与配料表一致，其中牛排样品中，配料表中仅含有牛肉及香辛料，未标记非肉成分，但在实际检测过程中测出了大豆源性成分，与实际标签不符。</w:t>
      </w:r>
    </w:p>
    <w:p>
      <w:pPr>
        <w:ind w:firstLine="420" w:firstLineChars="200"/>
        <w:jc w:val="center"/>
        <w:rPr>
          <w:rFonts w:ascii="Times New Roman" w:hAnsi="Times New Roman" w:eastAsia="宋体" w:cs="Times New Roman"/>
          <w:szCs w:val="21"/>
        </w:rPr>
      </w:pPr>
      <w:bookmarkStart w:id="11" w:name="_Ref203904431"/>
      <w:r>
        <w:rPr>
          <w:rFonts w:hint="eastAsia" w:ascii="Times New Roman" w:hAnsi="Times New Roman" w:eastAsia="宋体" w:cs="Times New Roman"/>
          <w:szCs w:val="21"/>
        </w:rPr>
        <w:t xml:space="preserve">表 </w:t>
      </w:r>
      <w:r>
        <w:rPr>
          <w:rFonts w:hint="eastAsia" w:ascii="Times New Roman" w:hAnsi="Times New Roman" w:eastAsia="宋体" w:cs="Times New Roman"/>
          <w:szCs w:val="21"/>
        </w:rPr>
        <w:fldChar w:fldCharType="begin"/>
      </w:r>
      <w:r>
        <w:rPr>
          <w:rFonts w:hint="eastAsia" w:ascii="Times New Roman" w:hAnsi="Times New Roman" w:eastAsia="宋体" w:cs="Times New Roman"/>
          <w:szCs w:val="21"/>
        </w:rPr>
        <w:instrText xml:space="preserve"> SEQ 表 \* ARABIC </w:instrText>
      </w:r>
      <w:r>
        <w:rPr>
          <w:rFonts w:hint="eastAsia" w:ascii="Times New Roman" w:hAnsi="Times New Roman" w:eastAsia="宋体" w:cs="Times New Roman"/>
          <w:szCs w:val="21"/>
        </w:rPr>
        <w:fldChar w:fldCharType="separate"/>
      </w:r>
      <w:r>
        <w:rPr>
          <w:rFonts w:ascii="Times New Roman" w:hAnsi="Times New Roman" w:eastAsia="宋体" w:cs="Times New Roman"/>
          <w:szCs w:val="21"/>
        </w:rPr>
        <w:t>5</w:t>
      </w:r>
      <w:r>
        <w:rPr>
          <w:rFonts w:hint="eastAsia" w:ascii="Times New Roman" w:hAnsi="Times New Roman" w:eastAsia="宋体" w:cs="Times New Roman"/>
          <w:szCs w:val="21"/>
        </w:rPr>
        <w:fldChar w:fldCharType="end"/>
      </w:r>
      <w:bookmarkEnd w:id="11"/>
      <w:r>
        <w:rPr>
          <w:rFonts w:hint="eastAsia" w:ascii="Times New Roman" w:hAnsi="Times New Roman" w:eastAsia="宋体" w:cs="Times New Roman"/>
          <w:szCs w:val="21"/>
        </w:rPr>
        <w:t xml:space="preserve"> 样品测定结果</w:t>
      </w:r>
    </w:p>
    <w:tbl>
      <w:tblPr>
        <w:tblStyle w:val="1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57"/>
        <w:gridCol w:w="2324"/>
        <w:gridCol w:w="737"/>
        <w:gridCol w:w="737"/>
        <w:gridCol w:w="737"/>
        <w:gridCol w:w="737"/>
        <w:gridCol w:w="737"/>
      </w:tblGrid>
      <w:tr>
        <w:trPr>
          <w:trHeight w:val="20" w:hRule="atLeast"/>
          <w:jc w:val="center"/>
        </w:trPr>
        <w:tc>
          <w:tcPr>
            <w:tcW w:w="1757"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样品名称</w:t>
            </w:r>
          </w:p>
        </w:tc>
        <w:tc>
          <w:tcPr>
            <w:tcW w:w="232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配料表</w:t>
            </w:r>
          </w:p>
        </w:tc>
        <w:tc>
          <w:tcPr>
            <w:tcW w:w="737"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大豆</w:t>
            </w:r>
          </w:p>
        </w:tc>
        <w:tc>
          <w:tcPr>
            <w:tcW w:w="737"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豌豆</w:t>
            </w:r>
          </w:p>
        </w:tc>
        <w:tc>
          <w:tcPr>
            <w:tcW w:w="737"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花生</w:t>
            </w:r>
          </w:p>
        </w:tc>
        <w:tc>
          <w:tcPr>
            <w:tcW w:w="737"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小麦</w:t>
            </w:r>
          </w:p>
        </w:tc>
        <w:tc>
          <w:tcPr>
            <w:tcW w:w="737"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鸡蛋</w:t>
            </w:r>
          </w:p>
        </w:tc>
      </w:tr>
      <w:tr>
        <w:trPr>
          <w:trHeight w:val="20" w:hRule="atLeast"/>
          <w:jc w:val="center"/>
        </w:trPr>
        <w:tc>
          <w:tcPr>
            <w:tcW w:w="1757"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羔羊肉串</w:t>
            </w:r>
          </w:p>
        </w:tc>
        <w:tc>
          <w:tcPr>
            <w:tcW w:w="232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全蛋粉</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Y</w:t>
            </w:r>
          </w:p>
        </w:tc>
      </w:tr>
      <w:tr>
        <w:trPr>
          <w:trHeight w:val="20" w:hRule="atLeast"/>
          <w:jc w:val="center"/>
        </w:trPr>
        <w:tc>
          <w:tcPr>
            <w:tcW w:w="1757"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厚切肥牛片</w:t>
            </w:r>
          </w:p>
        </w:tc>
        <w:tc>
          <w:tcPr>
            <w:tcW w:w="232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大豆蛋白</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Y</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r>
      <w:tr>
        <w:trPr>
          <w:trHeight w:val="20" w:hRule="atLeast"/>
          <w:jc w:val="center"/>
        </w:trPr>
        <w:tc>
          <w:tcPr>
            <w:tcW w:w="1757"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午餐肉</w:t>
            </w:r>
          </w:p>
        </w:tc>
        <w:tc>
          <w:tcPr>
            <w:tcW w:w="232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大豆浓缩蛋白</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Y</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r>
      <w:tr>
        <w:trPr>
          <w:trHeight w:val="20" w:hRule="atLeast"/>
          <w:jc w:val="center"/>
        </w:trPr>
        <w:tc>
          <w:tcPr>
            <w:tcW w:w="1757"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鲜卤植系牛排</w:t>
            </w:r>
          </w:p>
        </w:tc>
        <w:tc>
          <w:tcPr>
            <w:tcW w:w="232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大豆浓缩蛋白、小麦粉</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Y</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Y</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r>
      <w:tr>
        <w:trPr>
          <w:trHeight w:val="20" w:hRule="atLeast"/>
          <w:jc w:val="center"/>
        </w:trPr>
        <w:tc>
          <w:tcPr>
            <w:tcW w:w="1757"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素肉</w:t>
            </w:r>
          </w:p>
        </w:tc>
        <w:tc>
          <w:tcPr>
            <w:tcW w:w="2324"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花生蛋白</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Y</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r>
      <w:tr>
        <w:trPr>
          <w:trHeight w:val="20" w:hRule="atLeast"/>
          <w:jc w:val="center"/>
        </w:trPr>
        <w:tc>
          <w:tcPr>
            <w:tcW w:w="1757"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牛排</w:t>
            </w:r>
          </w:p>
        </w:tc>
        <w:tc>
          <w:tcPr>
            <w:tcW w:w="2324" w:type="dxa"/>
          </w:tcPr>
          <w:p>
            <w:pPr>
              <w:jc w:val="center"/>
              <w:rPr>
                <w:rFonts w:ascii="Times New Roman" w:hAnsi="Times New Roman" w:eastAsia="宋体" w:cs="Times New Roman"/>
                <w:szCs w:val="21"/>
              </w:rPr>
            </w:pPr>
            <w:r>
              <w:rPr>
                <w:rFonts w:ascii="Times New Roman" w:hAnsi="Times New Roman" w:eastAsia="宋体" w:cs="Times New Roman"/>
                <w:szCs w:val="21"/>
              </w:rPr>
              <w:t>/</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Y</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r>
      <w:tr>
        <w:trPr>
          <w:trHeight w:val="20" w:hRule="atLeast"/>
          <w:jc w:val="center"/>
        </w:trPr>
        <w:tc>
          <w:tcPr>
            <w:tcW w:w="1757"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午餐肉</w:t>
            </w:r>
          </w:p>
        </w:tc>
        <w:tc>
          <w:tcPr>
            <w:tcW w:w="232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大豆分离蛋白</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Y</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r>
      <w:tr>
        <w:trPr>
          <w:trHeight w:val="20" w:hRule="atLeast"/>
          <w:jc w:val="center"/>
        </w:trPr>
        <w:tc>
          <w:tcPr>
            <w:tcW w:w="1757"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牛肉丸</w:t>
            </w:r>
          </w:p>
        </w:tc>
        <w:tc>
          <w:tcPr>
            <w:tcW w:w="2324" w:type="dxa"/>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rPr>
              <w:t>鸡蛋清</w:t>
            </w:r>
          </w:p>
        </w:tc>
        <w:tc>
          <w:tcPr>
            <w:tcW w:w="737"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ascii="Times New Roman" w:hAnsi="Times New Roman" w:eastAsia="宋体" w:cs="Times New Roman"/>
                <w:szCs w:val="21"/>
              </w:rPr>
              <w:t>N</w:t>
            </w:r>
          </w:p>
        </w:tc>
        <w:tc>
          <w:tcPr>
            <w:tcW w:w="737" w:type="dxa"/>
          </w:tcPr>
          <w:p>
            <w:pPr>
              <w:jc w:val="center"/>
              <w:rPr>
                <w:rFonts w:ascii="Times New Roman" w:hAnsi="Times New Roman" w:eastAsia="宋体" w:cs="Times New Roman"/>
                <w:szCs w:val="21"/>
              </w:rPr>
            </w:pPr>
            <w:r>
              <w:rPr>
                <w:rFonts w:hint="eastAsia" w:ascii="Times New Roman" w:hAnsi="Times New Roman" w:eastAsia="宋体" w:cs="Times New Roman"/>
                <w:szCs w:val="21"/>
              </w:rPr>
              <w:t>Y</w:t>
            </w:r>
          </w:p>
        </w:tc>
      </w:tr>
    </w:tbl>
    <w:p>
      <w:pPr>
        <w:ind w:firstLine="560" w:firstLineChars="200"/>
        <w:rPr>
          <w:rFonts w:ascii="Times New Roman" w:hAnsi="Times New Roman" w:eastAsia="宋体" w:cs="Times New Roman"/>
          <w:sz w:val="28"/>
          <w:szCs w:val="28"/>
        </w:rPr>
      </w:pPr>
    </w:p>
    <w:sectPr>
      <w:footerReference r:id="rId3" w:type="default"/>
      <w:pgSz w:w="11906" w:h="16838"/>
      <w:pgMar w:top="1440" w:right="1800" w:bottom="1440" w:left="1800" w:header="851" w:footer="992" w:gutter="0"/>
      <w:pgNumType w:start="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等线">
    <w:altName w:val="汉仪中等线KW"/>
    <w:panose1 w:val="02010600030101010101"/>
    <w:charset w:val="86"/>
    <w:family w:val="auto"/>
    <w:pitch w:val="default"/>
    <w:sig w:usb0="00000000" w:usb1="00000000" w:usb2="00000016" w:usb3="00000000" w:csb0="0004000F" w:csb1="00000000"/>
  </w:font>
  <w:font w:name="等线">
    <w:altName w:val="汉仪中等线KW"/>
    <w:panose1 w:val="00000000000000000000"/>
    <w:charset w:val="86"/>
    <w:family w:val="auto"/>
    <w:pitch w:val="default"/>
    <w:sig w:usb0="00000000" w:usb1="00000000" w:usb2="00000000" w:usb3="00000000" w:csb0="00000000" w:csb1="00000000"/>
  </w:font>
  <w:font w:name="等线">
    <w:altName w:val="汉仪中等线KW"/>
    <w:panose1 w:val="00000000000000000000"/>
    <w:charset w:val="00"/>
    <w:family w:val="auto"/>
    <w:pitch w:val="default"/>
    <w:sig w:usb0="00000000" w:usb1="00000000" w:usb2="00000000" w:usb3="00000000" w:csb0="00000000" w:csb1="00000000"/>
  </w:font>
  <w:font w:name="等线 Light">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800002BF" w:usb1="004F7CFA" w:usb2="00000000" w:usb3="00000000" w:csb0="00040001" w:csb1="00000000"/>
  </w:font>
  <w:font w:name="汉仪书宋二KW">
    <w:panose1 w:val="00020600040101010101"/>
    <w:charset w:val="86"/>
    <w:family w:val="auto"/>
    <w:pitch w:val="default"/>
    <w:sig w:usb0="A00002BF" w:usb1="18EF7CFA" w:usb2="00000016" w:usb3="00000000" w:csb0="00040000" w:csb1="00000000"/>
  </w:font>
  <w:font w:name="冬青黑体简体中文">
    <w:panose1 w:val="020B0300000000000000"/>
    <w:charset w:val="86"/>
    <w:family w:val="auto"/>
    <w:pitch w:val="default"/>
    <w:sig w:usb0="A00002BF" w:usb1="1ACF7CFA" w:usb2="00000016" w:usb3="00000000" w:csb0="00060007"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 w:name="等线 Light">
    <w:altName w:val="汉仪中等线KW"/>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2608111"/>
      <w:docPartObj>
        <w:docPartGallery w:val="AutoText"/>
      </w:docPartObj>
    </w:sdtPr>
    <w:sdtContent>
      <w:p>
        <w:pPr>
          <w:pStyle w:val="7"/>
          <w:jc w:val="right"/>
          <w:rPr>
            <w:rFonts w:hint="eastAsia"/>
          </w:rPr>
        </w:pPr>
        <w:r>
          <w:fldChar w:fldCharType="begin"/>
        </w:r>
        <w:r>
          <w:instrText xml:space="preserve">PAGE   \* MERGEFORMAT</w:instrText>
        </w:r>
        <w:r>
          <w:fldChar w:fldCharType="separate"/>
        </w:r>
        <w:r>
          <w:rPr>
            <w:lang w:val="zh-CN"/>
          </w:rPr>
          <w:t>2</w:t>
        </w:r>
        <w:r>
          <w:fldChar w:fldCharType="end"/>
        </w:r>
      </w:p>
    </w:sdtContent>
  </w:sdt>
  <w:p>
    <w:pPr>
      <w:pStyle w:val="7"/>
      <w:rPr>
        <w:rFonts w:hint="eastAsia"/>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62C756A"/>
    <w:multiLevelType w:val="singleLevel"/>
    <w:tmpl w:val="162C756A"/>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1"/>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D15"/>
    <w:rsid w:val="00051050"/>
    <w:rsid w:val="00064F02"/>
    <w:rsid w:val="000653C2"/>
    <w:rsid w:val="00071B50"/>
    <w:rsid w:val="00074A2A"/>
    <w:rsid w:val="00080921"/>
    <w:rsid w:val="00081F23"/>
    <w:rsid w:val="000D36C9"/>
    <w:rsid w:val="000F019B"/>
    <w:rsid w:val="00101403"/>
    <w:rsid w:val="001047B5"/>
    <w:rsid w:val="001074F3"/>
    <w:rsid w:val="0013623C"/>
    <w:rsid w:val="00145D44"/>
    <w:rsid w:val="00153701"/>
    <w:rsid w:val="00171D3D"/>
    <w:rsid w:val="001760EB"/>
    <w:rsid w:val="001A3B59"/>
    <w:rsid w:val="001A53E9"/>
    <w:rsid w:val="001C5C12"/>
    <w:rsid w:val="001D0C2D"/>
    <w:rsid w:val="001E7733"/>
    <w:rsid w:val="00204973"/>
    <w:rsid w:val="00234C94"/>
    <w:rsid w:val="002415DC"/>
    <w:rsid w:val="00267B4F"/>
    <w:rsid w:val="0027473C"/>
    <w:rsid w:val="002974D5"/>
    <w:rsid w:val="002A1655"/>
    <w:rsid w:val="002B5C51"/>
    <w:rsid w:val="002D10ED"/>
    <w:rsid w:val="00313C45"/>
    <w:rsid w:val="00360758"/>
    <w:rsid w:val="003822E3"/>
    <w:rsid w:val="00396329"/>
    <w:rsid w:val="003B042E"/>
    <w:rsid w:val="003D3F68"/>
    <w:rsid w:val="003F41BC"/>
    <w:rsid w:val="0040727C"/>
    <w:rsid w:val="004652DE"/>
    <w:rsid w:val="00477B7B"/>
    <w:rsid w:val="00477F55"/>
    <w:rsid w:val="004A25D3"/>
    <w:rsid w:val="004C7B7F"/>
    <w:rsid w:val="004D0473"/>
    <w:rsid w:val="005267EE"/>
    <w:rsid w:val="005338F6"/>
    <w:rsid w:val="00555694"/>
    <w:rsid w:val="00564EED"/>
    <w:rsid w:val="005727A3"/>
    <w:rsid w:val="00576AFB"/>
    <w:rsid w:val="005977A5"/>
    <w:rsid w:val="005B2AC1"/>
    <w:rsid w:val="005D3BB5"/>
    <w:rsid w:val="00650CC4"/>
    <w:rsid w:val="00661997"/>
    <w:rsid w:val="006701C6"/>
    <w:rsid w:val="00670EC0"/>
    <w:rsid w:val="00693CF2"/>
    <w:rsid w:val="006A0071"/>
    <w:rsid w:val="006A1D48"/>
    <w:rsid w:val="006A308B"/>
    <w:rsid w:val="006A537C"/>
    <w:rsid w:val="006C286E"/>
    <w:rsid w:val="006C4055"/>
    <w:rsid w:val="006D6390"/>
    <w:rsid w:val="006F52A0"/>
    <w:rsid w:val="006F55F6"/>
    <w:rsid w:val="007178E3"/>
    <w:rsid w:val="0074552E"/>
    <w:rsid w:val="00746A08"/>
    <w:rsid w:val="00760DDB"/>
    <w:rsid w:val="00796D6F"/>
    <w:rsid w:val="007B095B"/>
    <w:rsid w:val="007B0B35"/>
    <w:rsid w:val="007B47E4"/>
    <w:rsid w:val="008004CB"/>
    <w:rsid w:val="00800549"/>
    <w:rsid w:val="0081393F"/>
    <w:rsid w:val="0081539B"/>
    <w:rsid w:val="00825E4B"/>
    <w:rsid w:val="00843715"/>
    <w:rsid w:val="00843FAC"/>
    <w:rsid w:val="00847DCE"/>
    <w:rsid w:val="00865535"/>
    <w:rsid w:val="00867865"/>
    <w:rsid w:val="008A4370"/>
    <w:rsid w:val="008A4D15"/>
    <w:rsid w:val="008A7AFD"/>
    <w:rsid w:val="008D678B"/>
    <w:rsid w:val="008E19D0"/>
    <w:rsid w:val="008F18CD"/>
    <w:rsid w:val="009034F5"/>
    <w:rsid w:val="00912988"/>
    <w:rsid w:val="00915904"/>
    <w:rsid w:val="009231AD"/>
    <w:rsid w:val="00925E8D"/>
    <w:rsid w:val="0093250B"/>
    <w:rsid w:val="00943CC8"/>
    <w:rsid w:val="0095096A"/>
    <w:rsid w:val="009554D7"/>
    <w:rsid w:val="00961EE6"/>
    <w:rsid w:val="00967CA6"/>
    <w:rsid w:val="00970086"/>
    <w:rsid w:val="0097187B"/>
    <w:rsid w:val="00971A25"/>
    <w:rsid w:val="00972E98"/>
    <w:rsid w:val="009C1E89"/>
    <w:rsid w:val="009C7BA2"/>
    <w:rsid w:val="009D7EAA"/>
    <w:rsid w:val="009F66C9"/>
    <w:rsid w:val="00A0412E"/>
    <w:rsid w:val="00A06143"/>
    <w:rsid w:val="00A20D92"/>
    <w:rsid w:val="00A33EA2"/>
    <w:rsid w:val="00A46F08"/>
    <w:rsid w:val="00A4714F"/>
    <w:rsid w:val="00A64ABF"/>
    <w:rsid w:val="00A97C57"/>
    <w:rsid w:val="00AA16E8"/>
    <w:rsid w:val="00AC7D6C"/>
    <w:rsid w:val="00AD51EA"/>
    <w:rsid w:val="00AD6843"/>
    <w:rsid w:val="00B03308"/>
    <w:rsid w:val="00B06FB5"/>
    <w:rsid w:val="00B147D1"/>
    <w:rsid w:val="00B243B7"/>
    <w:rsid w:val="00B3436F"/>
    <w:rsid w:val="00B4288D"/>
    <w:rsid w:val="00B43301"/>
    <w:rsid w:val="00B44E2E"/>
    <w:rsid w:val="00B56BDE"/>
    <w:rsid w:val="00B713E6"/>
    <w:rsid w:val="00B73BBD"/>
    <w:rsid w:val="00B87184"/>
    <w:rsid w:val="00B97526"/>
    <w:rsid w:val="00BA3BD6"/>
    <w:rsid w:val="00BF58D8"/>
    <w:rsid w:val="00C04053"/>
    <w:rsid w:val="00C06C7D"/>
    <w:rsid w:val="00C14F38"/>
    <w:rsid w:val="00C26DB6"/>
    <w:rsid w:val="00C32908"/>
    <w:rsid w:val="00C45D7A"/>
    <w:rsid w:val="00C52CF4"/>
    <w:rsid w:val="00C5305F"/>
    <w:rsid w:val="00C53767"/>
    <w:rsid w:val="00C551FD"/>
    <w:rsid w:val="00C62D42"/>
    <w:rsid w:val="00C6386A"/>
    <w:rsid w:val="00C71F23"/>
    <w:rsid w:val="00C862EA"/>
    <w:rsid w:val="00C95D5E"/>
    <w:rsid w:val="00CA25D4"/>
    <w:rsid w:val="00CA36A9"/>
    <w:rsid w:val="00CD2ABB"/>
    <w:rsid w:val="00CE487A"/>
    <w:rsid w:val="00CE747B"/>
    <w:rsid w:val="00CE76F0"/>
    <w:rsid w:val="00CF5E91"/>
    <w:rsid w:val="00D023B6"/>
    <w:rsid w:val="00D410A2"/>
    <w:rsid w:val="00D43439"/>
    <w:rsid w:val="00DB6BF4"/>
    <w:rsid w:val="00DE2C63"/>
    <w:rsid w:val="00E02479"/>
    <w:rsid w:val="00E06BF6"/>
    <w:rsid w:val="00E24211"/>
    <w:rsid w:val="00E536C8"/>
    <w:rsid w:val="00E62C3C"/>
    <w:rsid w:val="00E97E7F"/>
    <w:rsid w:val="00EA13B2"/>
    <w:rsid w:val="00EA65CE"/>
    <w:rsid w:val="00EB0FCE"/>
    <w:rsid w:val="00EC537E"/>
    <w:rsid w:val="00ED5549"/>
    <w:rsid w:val="00EE01CD"/>
    <w:rsid w:val="00EE207F"/>
    <w:rsid w:val="00F1777D"/>
    <w:rsid w:val="00F330AF"/>
    <w:rsid w:val="00F67C5D"/>
    <w:rsid w:val="00F71511"/>
    <w:rsid w:val="00F81238"/>
    <w:rsid w:val="00F83356"/>
    <w:rsid w:val="00F877D5"/>
    <w:rsid w:val="00F904E9"/>
    <w:rsid w:val="00F91CC1"/>
    <w:rsid w:val="00F957A2"/>
    <w:rsid w:val="00FA6988"/>
    <w:rsid w:val="00FB0AC0"/>
    <w:rsid w:val="00FD4A0C"/>
    <w:rsid w:val="00FE0F47"/>
    <w:rsid w:val="00FF02D5"/>
    <w:rsid w:val="07377DE0"/>
    <w:rsid w:val="174F49CD"/>
    <w:rsid w:val="212432DF"/>
    <w:rsid w:val="23CD03C9"/>
    <w:rsid w:val="3B617677"/>
    <w:rsid w:val="42156510"/>
    <w:rsid w:val="51E2712E"/>
    <w:rsid w:val="5EF57055"/>
    <w:rsid w:val="66C32DAD"/>
    <w:rsid w:val="6A6D4579"/>
    <w:rsid w:val="735400E7"/>
    <w:rsid w:val="FEFFBC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paragraph" w:styleId="2">
    <w:name w:val="heading 1"/>
    <w:basedOn w:val="3"/>
    <w:next w:val="1"/>
    <w:link w:val="13"/>
    <w:qFormat/>
    <w:uiPriority w:val="9"/>
    <w:pPr>
      <w:outlineLvl w:val="0"/>
    </w:pPr>
    <w:rPr>
      <w:sz w:val="32"/>
    </w:rPr>
  </w:style>
  <w:style w:type="paragraph" w:styleId="3">
    <w:name w:val="heading 2"/>
    <w:basedOn w:val="1"/>
    <w:next w:val="1"/>
    <w:link w:val="14"/>
    <w:unhideWhenUsed/>
    <w:qFormat/>
    <w:uiPriority w:val="9"/>
    <w:pPr>
      <w:keepNext/>
      <w:keepLines/>
      <w:spacing w:before="120" w:after="120" w:line="415" w:lineRule="auto"/>
      <w:outlineLvl w:val="1"/>
    </w:pPr>
    <w:rPr>
      <w:rFonts w:eastAsia="宋体" w:asciiTheme="majorHAnsi" w:hAnsiTheme="majorHAnsi" w:cstheme="majorBidi"/>
      <w:b/>
      <w:bCs/>
      <w:sz w:val="30"/>
      <w:szCs w:val="32"/>
    </w:rPr>
  </w:style>
  <w:style w:type="paragraph" w:styleId="4">
    <w:name w:val="heading 3"/>
    <w:basedOn w:val="1"/>
    <w:next w:val="1"/>
    <w:link w:val="15"/>
    <w:unhideWhenUsed/>
    <w:qFormat/>
    <w:uiPriority w:val="9"/>
    <w:pPr>
      <w:keepNext/>
      <w:keepLines/>
      <w:spacing w:before="120" w:after="120" w:line="415" w:lineRule="auto"/>
      <w:outlineLvl w:val="2"/>
    </w:pPr>
    <w:rPr>
      <w:rFonts w:eastAsia="宋体"/>
      <w:b/>
      <w:bCs/>
      <w:sz w:val="28"/>
      <w:szCs w:val="32"/>
    </w:rPr>
  </w:style>
  <w:style w:type="paragraph" w:styleId="5">
    <w:name w:val="heading 4"/>
    <w:basedOn w:val="1"/>
    <w:next w:val="1"/>
    <w:link w:val="16"/>
    <w:unhideWhenUsed/>
    <w:qFormat/>
    <w:uiPriority w:val="9"/>
    <w:pPr>
      <w:keepNext/>
      <w:keepLines/>
      <w:spacing w:before="120" w:after="120" w:line="377" w:lineRule="auto"/>
      <w:outlineLvl w:val="3"/>
    </w:pPr>
    <w:rPr>
      <w:rFonts w:eastAsia="宋体" w:asciiTheme="majorHAnsi" w:hAnsiTheme="majorHAnsi" w:cstheme="majorBidi"/>
      <w:bCs/>
      <w:sz w:val="28"/>
      <w:szCs w:val="28"/>
    </w:rPr>
  </w:style>
  <w:style w:type="character" w:default="1" w:styleId="12">
    <w:name w:val="Default Paragraph Font"/>
    <w:semiHidden/>
    <w:unhideWhenUsed/>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6">
    <w:name w:val="caption"/>
    <w:basedOn w:val="1"/>
    <w:next w:val="1"/>
    <w:unhideWhenUsed/>
    <w:qFormat/>
    <w:uiPriority w:val="35"/>
    <w:rPr>
      <w:rFonts w:eastAsia="黑体" w:asciiTheme="majorHAnsi" w:hAnsiTheme="majorHAnsi" w:cstheme="majorBidi"/>
      <w:sz w:val="20"/>
      <w:szCs w:val="20"/>
    </w:rPr>
  </w:style>
  <w:style w:type="paragraph" w:styleId="7">
    <w:name w:val="footer"/>
    <w:basedOn w:val="1"/>
    <w:link w:val="20"/>
    <w:unhideWhenUsed/>
    <w:uiPriority w:val="99"/>
    <w:pPr>
      <w:tabs>
        <w:tab w:val="center" w:pos="4153"/>
        <w:tab w:val="right" w:pos="8306"/>
      </w:tabs>
      <w:snapToGrid w:val="0"/>
      <w:jc w:val="left"/>
    </w:pPr>
    <w:rPr>
      <w:sz w:val="18"/>
      <w:szCs w:val="18"/>
    </w:rPr>
  </w:style>
  <w:style w:type="paragraph" w:styleId="8">
    <w:name w:val="header"/>
    <w:basedOn w:val="1"/>
    <w:link w:val="19"/>
    <w:unhideWhenUsed/>
    <w:uiPriority w:val="99"/>
    <w:pPr>
      <w:tabs>
        <w:tab w:val="center" w:pos="4153"/>
        <w:tab w:val="right" w:pos="8306"/>
      </w:tabs>
      <w:snapToGrid w:val="0"/>
      <w:jc w:val="center"/>
    </w:pPr>
    <w:rPr>
      <w:sz w:val="18"/>
      <w:szCs w:val="18"/>
    </w:rPr>
  </w:style>
  <w:style w:type="paragraph" w:styleId="9">
    <w:name w:val="Normal (Web)"/>
    <w:basedOn w:val="1"/>
    <w:semiHidden/>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
    <w:name w:val="标题 1 字符"/>
    <w:basedOn w:val="12"/>
    <w:link w:val="2"/>
    <w:qFormat/>
    <w:uiPriority w:val="9"/>
    <w:rPr>
      <w:rFonts w:eastAsia="宋体" w:asciiTheme="majorHAnsi" w:hAnsiTheme="majorHAnsi" w:cstheme="majorBidi"/>
      <w:b/>
      <w:bCs/>
      <w:sz w:val="32"/>
      <w:szCs w:val="32"/>
    </w:rPr>
  </w:style>
  <w:style w:type="character" w:customStyle="1" w:styleId="14">
    <w:name w:val="标题 2 字符"/>
    <w:basedOn w:val="12"/>
    <w:link w:val="3"/>
    <w:qFormat/>
    <w:uiPriority w:val="9"/>
    <w:rPr>
      <w:rFonts w:eastAsia="宋体" w:asciiTheme="majorHAnsi" w:hAnsiTheme="majorHAnsi" w:cstheme="majorBidi"/>
      <w:b/>
      <w:bCs/>
      <w:sz w:val="30"/>
      <w:szCs w:val="32"/>
    </w:rPr>
  </w:style>
  <w:style w:type="character" w:customStyle="1" w:styleId="15">
    <w:name w:val="标题 3 字符"/>
    <w:basedOn w:val="12"/>
    <w:link w:val="4"/>
    <w:qFormat/>
    <w:uiPriority w:val="9"/>
    <w:rPr>
      <w:rFonts w:eastAsia="宋体"/>
      <w:b/>
      <w:bCs/>
      <w:sz w:val="28"/>
      <w:szCs w:val="32"/>
    </w:rPr>
  </w:style>
  <w:style w:type="character" w:customStyle="1" w:styleId="16">
    <w:name w:val="标题 4 字符"/>
    <w:basedOn w:val="12"/>
    <w:link w:val="5"/>
    <w:qFormat/>
    <w:uiPriority w:val="9"/>
    <w:rPr>
      <w:rFonts w:eastAsia="宋体" w:asciiTheme="majorHAnsi" w:hAnsiTheme="majorHAnsi" w:cstheme="majorBidi"/>
      <w:bCs/>
      <w:sz w:val="28"/>
      <w:szCs w:val="28"/>
    </w:rPr>
  </w:style>
  <w:style w:type="table" w:customStyle="1" w:styleId="17">
    <w:name w:val="无格式表格 21"/>
    <w:basedOn w:val="10"/>
    <w:qFormat/>
    <w:uiPriority w:val="42"/>
    <w:rPr>
      <w:rFonts w:ascii="Calibri" w:hAnsi="Calibri" w:eastAsia="宋体" w:cs="Times New Roman"/>
    </w:rPr>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paragraph" w:customStyle="1" w:styleId="18">
    <w:name w:val="修订1"/>
    <w:hidden/>
    <w:semiHidden/>
    <w:qFormat/>
    <w:uiPriority w:val="99"/>
    <w:rPr>
      <w:rFonts w:asciiTheme="minorHAnsi" w:hAnsiTheme="minorHAnsi" w:eastAsiaTheme="minorEastAsia" w:cstheme="minorBidi"/>
      <w:kern w:val="2"/>
      <w:sz w:val="21"/>
      <w:szCs w:val="22"/>
      <w:lang w:val="en-US" w:eastAsia="zh-CN" w:bidi="ar-SA"/>
      <w14:ligatures w14:val="standardContextual"/>
    </w:rPr>
  </w:style>
  <w:style w:type="character" w:customStyle="1" w:styleId="19">
    <w:name w:val="页眉 字符"/>
    <w:basedOn w:val="12"/>
    <w:link w:val="8"/>
    <w:uiPriority w:val="99"/>
    <w:rPr>
      <w:kern w:val="2"/>
      <w:sz w:val="18"/>
      <w:szCs w:val="18"/>
      <w14:ligatures w14:val="standardContextual"/>
    </w:rPr>
  </w:style>
  <w:style w:type="character" w:customStyle="1" w:styleId="20">
    <w:name w:val="页脚 字符"/>
    <w:basedOn w:val="12"/>
    <w:link w:val="7"/>
    <w:uiPriority w:val="99"/>
    <w:rPr>
      <w:kern w:val="2"/>
      <w:sz w:val="18"/>
      <w:szCs w:val="18"/>
      <w14:ligatures w14:val="standardContextual"/>
    </w:rPr>
  </w:style>
  <w:style w:type="paragraph" w:customStyle="1" w:styleId="21">
    <w:name w:val="Revision"/>
    <w:hidden/>
    <w:unhideWhenUsed/>
    <w:uiPriority w:val="99"/>
    <w:rPr>
      <w:rFonts w:asciiTheme="minorHAnsi" w:hAnsiTheme="minorHAnsi" w:eastAsiaTheme="minorEastAsia" w:cstheme="minorBidi"/>
      <w:kern w:val="2"/>
      <w:sz w:val="21"/>
      <w:szCs w:val="22"/>
      <w:lang w:val="en-US" w:eastAsia="zh-CN" w:bidi="ar-SA"/>
      <w14:ligatures w14:val="standardContextual"/>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image" Target="media/image12.emf"/><Relationship Id="rId21" Type="http://schemas.openxmlformats.org/officeDocument/2006/relationships/oleObject" Target="embeddings/oleObject6.bin"/><Relationship Id="rId20" Type="http://schemas.openxmlformats.org/officeDocument/2006/relationships/image" Target="media/image11.e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10.emf"/><Relationship Id="rId17" Type="http://schemas.openxmlformats.org/officeDocument/2006/relationships/oleObject" Target="embeddings/oleObject4.bin"/><Relationship Id="rId16" Type="http://schemas.openxmlformats.org/officeDocument/2006/relationships/image" Target="media/image9.emf"/><Relationship Id="rId15" Type="http://schemas.openxmlformats.org/officeDocument/2006/relationships/oleObject" Target="embeddings/oleObject3.bin"/><Relationship Id="rId14" Type="http://schemas.openxmlformats.org/officeDocument/2006/relationships/image" Target="media/image8.emf"/><Relationship Id="rId13" Type="http://schemas.openxmlformats.org/officeDocument/2006/relationships/oleObject" Target="embeddings/oleObject2.bin"/><Relationship Id="rId12" Type="http://schemas.openxmlformats.org/officeDocument/2006/relationships/image" Target="media/image7.emf"/><Relationship Id="rId11" Type="http://schemas.openxmlformats.org/officeDocument/2006/relationships/oleObject" Target="embeddings/oleObject1.bin"/><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24</Pages>
  <Words>6473</Words>
  <Characters>9517</Characters>
  <Lines>865</Lines>
  <Paragraphs>888</Paragraphs>
  <TotalTime>0</TotalTime>
  <ScaleCrop>false</ScaleCrop>
  <LinksUpToDate>false</LinksUpToDate>
  <CharactersWithSpaces>15102</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2025-11-08T16:42:00Z</dcterms:created>
  <dc:creator>颖 Y</dc:creator>
  <cp:lastModifiedBy>Victor Zhen LU</cp:lastModifiedBy>
  <cp:lastPrinted>2025-07-20T12:01:00Z</cp:lastPrinted>
  <dcterms:modified xsi:type="dcterms:W3CDTF">2025-11-11T11:54:20Z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B969C4D23FB04BDAB9C217E45A3A604D_13</vt:lpwstr>
  </property>
  <property fmtid="{D5CDD505-2E9C-101B-9397-08002B2CF9AE}" pid="4" name="KSOTemplateDocerSaveRecord">
    <vt:lpwstr>eyJoZGlkIjoiYTVjNWRiZDQ4YzgwNjIyODU1M2E1YjY4ZDFhNDZmOWMiLCJ1c2VySWQiOiIyNTU1MTc3NDgifQ==</vt:lpwstr>
  </property>
</Properties>
</file>